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B4CA1">
      <w:pPr>
        <w:ind w:left="1276"/>
      </w:pPr>
      <w:r>
        <w:rPr>
          <w:lang w:val="en-US"/>
        </w:rPr>
        <w:drawing>
          <wp:inline distT="0" distB="0" distL="0" distR="0">
            <wp:extent cx="4171950" cy="1657350"/>
            <wp:effectExtent l="19050" t="0" r="0" b="0"/>
            <wp:docPr id="1" name="Slika 0" descr="LOGO MAN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0" descr="LOGO MANJI.jpg"/>
                    <pic:cNvPicPr>
                      <a:picLocks noChangeAspect="1"/>
                    </pic:cNvPicPr>
                  </pic:nvPicPr>
                  <pic:blipFill>
                    <a:blip r:embed="rId5"/>
                    <a:stretch>
                      <a:fillRect/>
                    </a:stretch>
                  </pic:blipFill>
                  <pic:spPr>
                    <a:xfrm>
                      <a:off x="0" y="0"/>
                      <a:ext cx="4172726" cy="1657658"/>
                    </a:xfrm>
                    <a:prstGeom prst="rect">
                      <a:avLst/>
                    </a:prstGeom>
                    <a:ln>
                      <a:noFill/>
                    </a:ln>
                    <a:effectLst>
                      <a:softEdge rad="112500"/>
                    </a:effectLst>
                  </pic:spPr>
                </pic:pic>
              </a:graphicData>
            </a:graphic>
          </wp:inline>
        </w:drawing>
      </w:r>
    </w:p>
    <w:p w14:paraId="7DC1B566"/>
    <w:p w14:paraId="35E38334"/>
    <w:p w14:paraId="59066EF1">
      <w:pPr>
        <w:tabs>
          <w:tab w:val="left" w:pos="1905"/>
        </w:tabs>
        <w:jc w:val="center"/>
        <w:rPr>
          <w:rFonts w:ascii="Times New Roman" w:hAnsi="Times New Roman" w:cs="Times New Roman"/>
          <w:b/>
          <w:sz w:val="48"/>
          <w:szCs w:val="48"/>
        </w:rPr>
      </w:pPr>
      <w:r>
        <w:rPr>
          <w:rFonts w:ascii="Times New Roman" w:hAnsi="Times New Roman" w:cs="Times New Roman"/>
          <w:b/>
          <w:sz w:val="48"/>
          <w:szCs w:val="48"/>
        </w:rPr>
        <w:t xml:space="preserve">TURISTIČKA ZAJEDNICA </w:t>
      </w:r>
    </w:p>
    <w:p w14:paraId="4ED356F2">
      <w:pPr>
        <w:tabs>
          <w:tab w:val="left" w:pos="1905"/>
        </w:tabs>
        <w:jc w:val="center"/>
        <w:rPr>
          <w:rFonts w:ascii="Times New Roman" w:hAnsi="Times New Roman" w:cs="Times New Roman"/>
          <w:b/>
          <w:sz w:val="48"/>
          <w:szCs w:val="48"/>
        </w:rPr>
      </w:pPr>
      <w:r>
        <w:rPr>
          <w:rFonts w:ascii="Times New Roman" w:hAnsi="Times New Roman" w:cs="Times New Roman"/>
          <w:b/>
          <w:sz w:val="48"/>
          <w:szCs w:val="48"/>
        </w:rPr>
        <w:t>KRAPANJ-BRODARICA</w:t>
      </w:r>
    </w:p>
    <w:p w14:paraId="07753D30">
      <w:pPr>
        <w:tabs>
          <w:tab w:val="left" w:pos="1905"/>
        </w:tabs>
        <w:jc w:val="center"/>
        <w:rPr>
          <w:rFonts w:ascii="Times New Roman" w:hAnsi="Times New Roman" w:cs="Times New Roman"/>
          <w:b/>
          <w:sz w:val="48"/>
          <w:szCs w:val="48"/>
        </w:rPr>
      </w:pPr>
    </w:p>
    <w:p w14:paraId="4880A777">
      <w:pPr>
        <w:tabs>
          <w:tab w:val="left" w:pos="1905"/>
        </w:tabs>
        <w:jc w:val="center"/>
        <w:rPr>
          <w:rFonts w:ascii="Times New Roman" w:hAnsi="Times New Roman" w:cs="Times New Roman"/>
          <w:b/>
          <w:sz w:val="48"/>
          <w:szCs w:val="48"/>
        </w:rPr>
      </w:pPr>
      <w:r>
        <w:rPr>
          <w:rFonts w:ascii="Times New Roman" w:hAnsi="Times New Roman" w:cs="Times New Roman"/>
          <w:b/>
          <w:sz w:val="48"/>
          <w:szCs w:val="48"/>
        </w:rPr>
        <w:t xml:space="preserve"> GODIŠNJ</w:t>
      </w:r>
      <w:r>
        <w:rPr>
          <w:rFonts w:hint="default" w:ascii="Times New Roman" w:hAnsi="Times New Roman" w:cs="Times New Roman"/>
          <w:b/>
          <w:sz w:val="48"/>
          <w:szCs w:val="48"/>
          <w:lang w:val="hr-HR"/>
        </w:rPr>
        <w:t>I</w:t>
      </w:r>
      <w:r>
        <w:rPr>
          <w:rFonts w:ascii="Times New Roman" w:hAnsi="Times New Roman" w:cs="Times New Roman"/>
          <w:b/>
          <w:sz w:val="48"/>
          <w:szCs w:val="48"/>
        </w:rPr>
        <w:t xml:space="preserve"> PROGRAM RADA ZA 202</w:t>
      </w:r>
      <w:r>
        <w:rPr>
          <w:rFonts w:hint="default" w:ascii="Times New Roman" w:hAnsi="Times New Roman" w:cs="Times New Roman"/>
          <w:b/>
          <w:sz w:val="48"/>
          <w:szCs w:val="48"/>
          <w:lang w:val="hr-HR"/>
        </w:rPr>
        <w:t>6</w:t>
      </w:r>
      <w:r>
        <w:rPr>
          <w:rFonts w:ascii="Times New Roman" w:hAnsi="Times New Roman" w:cs="Times New Roman"/>
          <w:b/>
          <w:sz w:val="48"/>
          <w:szCs w:val="48"/>
        </w:rPr>
        <w:t>.</w:t>
      </w:r>
    </w:p>
    <w:p w14:paraId="6606D6A8">
      <w:pPr>
        <w:tabs>
          <w:tab w:val="left" w:pos="1905"/>
        </w:tabs>
      </w:pPr>
    </w:p>
    <w:p w14:paraId="0CAD1B54">
      <w:pPr>
        <w:tabs>
          <w:tab w:val="left" w:pos="1905"/>
        </w:tabs>
      </w:pPr>
    </w:p>
    <w:p w14:paraId="586D1994">
      <w:pPr>
        <w:tabs>
          <w:tab w:val="left" w:pos="1905"/>
        </w:tabs>
      </w:pPr>
    </w:p>
    <w:p w14:paraId="00F6D1D3">
      <w:pPr>
        <w:tabs>
          <w:tab w:val="left" w:pos="1905"/>
        </w:tabs>
      </w:pPr>
    </w:p>
    <w:p w14:paraId="175AD36A">
      <w:pPr>
        <w:tabs>
          <w:tab w:val="left" w:pos="1905"/>
        </w:tabs>
      </w:pPr>
    </w:p>
    <w:p w14:paraId="5642DBF0">
      <w:pPr>
        <w:tabs>
          <w:tab w:val="left" w:pos="1905"/>
        </w:tabs>
      </w:pPr>
    </w:p>
    <w:p w14:paraId="2E49B7B0">
      <w:pPr>
        <w:tabs>
          <w:tab w:val="left" w:pos="1905"/>
        </w:tabs>
      </w:pPr>
    </w:p>
    <w:p w14:paraId="7A2FD03E">
      <w:pPr>
        <w:tabs>
          <w:tab w:val="left" w:pos="1905"/>
        </w:tabs>
      </w:pPr>
    </w:p>
    <w:p w14:paraId="186E3DD6">
      <w:pPr>
        <w:tabs>
          <w:tab w:val="left" w:pos="1905"/>
        </w:tabs>
      </w:pPr>
    </w:p>
    <w:p w14:paraId="71896CA4">
      <w:pPr>
        <w:tabs>
          <w:tab w:val="left" w:pos="1905"/>
        </w:tabs>
      </w:pPr>
    </w:p>
    <w:p w14:paraId="3A89995F">
      <w:pPr>
        <w:tabs>
          <w:tab w:val="left" w:pos="1905"/>
        </w:tabs>
      </w:pPr>
    </w:p>
    <w:p w14:paraId="79E43466">
      <w:pPr>
        <w:tabs>
          <w:tab w:val="left" w:pos="1905"/>
        </w:tabs>
        <w:rPr>
          <w:b/>
          <w:sz w:val="28"/>
          <w:szCs w:val="28"/>
        </w:rPr>
      </w:pPr>
      <w:r>
        <w:rPr>
          <w:rFonts w:hint="default"/>
          <w:b/>
          <w:sz w:val="28"/>
          <w:szCs w:val="28"/>
          <w:lang w:val="hr-HR"/>
        </w:rPr>
        <w:t>Prosinac</w:t>
      </w:r>
      <w:bookmarkStart w:id="0" w:name="_GoBack"/>
      <w:bookmarkEnd w:id="0"/>
      <w:r>
        <w:rPr>
          <w:b/>
          <w:sz w:val="28"/>
          <w:szCs w:val="28"/>
        </w:rPr>
        <w:t>,202</w:t>
      </w:r>
      <w:r>
        <w:rPr>
          <w:rFonts w:hint="default"/>
          <w:b/>
          <w:sz w:val="28"/>
          <w:szCs w:val="28"/>
          <w:lang w:val="hr-HR"/>
        </w:rPr>
        <w:t>5</w:t>
      </w:r>
      <w:r>
        <w:rPr>
          <w:b/>
          <w:sz w:val="28"/>
          <w:szCs w:val="28"/>
        </w:rPr>
        <w:t xml:space="preserve">. </w:t>
      </w:r>
    </w:p>
    <w:p w14:paraId="00B18C92">
      <w:pPr>
        <w:tabs>
          <w:tab w:val="left" w:pos="1905"/>
        </w:tabs>
        <w:rPr>
          <w:b/>
          <w:sz w:val="28"/>
          <w:szCs w:val="28"/>
        </w:rPr>
      </w:pPr>
    </w:p>
    <w:p w14:paraId="079836B7">
      <w:pPr>
        <w:tabs>
          <w:tab w:val="left" w:pos="1905"/>
        </w:tabs>
        <w:rPr>
          <w:b/>
          <w:sz w:val="28"/>
          <w:szCs w:val="28"/>
        </w:rPr>
      </w:pPr>
    </w:p>
    <w:p w14:paraId="7B2EC4B1">
      <w:pPr>
        <w:tabs>
          <w:tab w:val="left" w:pos="1905"/>
        </w:tabs>
        <w:rPr>
          <w:b/>
          <w:sz w:val="28"/>
          <w:szCs w:val="28"/>
        </w:rPr>
      </w:pPr>
    </w:p>
    <w:p w14:paraId="7F353C3F">
      <w:pPr>
        <w:tabs>
          <w:tab w:val="left" w:pos="1905"/>
        </w:tabs>
        <w:rPr>
          <w:b/>
          <w:sz w:val="32"/>
          <w:szCs w:val="32"/>
        </w:rPr>
      </w:pPr>
      <w:r>
        <w:rPr>
          <w:b/>
          <w:sz w:val="32"/>
          <w:szCs w:val="32"/>
        </w:rPr>
        <w:t>UVOD</w:t>
      </w:r>
    </w:p>
    <w:p w14:paraId="02F738BD">
      <w:pPr>
        <w:rPr>
          <w:rFonts w:ascii="Verdana" w:hAnsi="Verdana"/>
          <w:sz w:val="24"/>
          <w:szCs w:val="24"/>
        </w:rPr>
      </w:pPr>
    </w:p>
    <w:p w14:paraId="7E8E4316">
      <w:pPr>
        <w:rPr>
          <w:rFonts w:hint="default" w:ascii="Verdana" w:hAnsi="Verdana"/>
          <w:sz w:val="24"/>
          <w:szCs w:val="24"/>
          <w:lang w:val="hr-HR"/>
        </w:rPr>
      </w:pPr>
      <w:r>
        <w:rPr>
          <w:rFonts w:ascii="Verdana" w:hAnsi="Verdana"/>
          <w:sz w:val="24"/>
          <w:szCs w:val="24"/>
        </w:rPr>
        <w:t>Sezona 202</w:t>
      </w:r>
      <w:r>
        <w:rPr>
          <w:rFonts w:hint="default" w:ascii="Verdana" w:hAnsi="Verdana"/>
          <w:sz w:val="24"/>
          <w:szCs w:val="24"/>
          <w:lang w:val="hr-HR"/>
        </w:rPr>
        <w:t>5</w:t>
      </w:r>
      <w:r>
        <w:rPr>
          <w:rFonts w:ascii="Verdana" w:hAnsi="Verdana"/>
          <w:sz w:val="24"/>
          <w:szCs w:val="24"/>
        </w:rPr>
        <w:t>.je bila uspješn</w:t>
      </w:r>
      <w:r>
        <w:rPr>
          <w:rFonts w:hint="default" w:ascii="Verdana" w:hAnsi="Verdana"/>
          <w:sz w:val="24"/>
          <w:szCs w:val="24"/>
          <w:lang w:val="hr-HR"/>
        </w:rPr>
        <w:t>a</w:t>
      </w:r>
      <w:r>
        <w:rPr>
          <w:rFonts w:ascii="Verdana" w:hAnsi="Verdana"/>
          <w:sz w:val="24"/>
          <w:szCs w:val="24"/>
        </w:rPr>
        <w:t xml:space="preserve"> </w:t>
      </w:r>
      <w:r>
        <w:rPr>
          <w:rFonts w:hint="default" w:ascii="Verdana" w:hAnsi="Verdana"/>
          <w:sz w:val="24"/>
          <w:szCs w:val="24"/>
          <w:lang w:val="hr-HR"/>
        </w:rPr>
        <w:t xml:space="preserve"> te se nadamo da će sljedeća 2026. biti još bolja i da će se planom održivog turizma rasporediti na skoro cijelogodišnje poslovanje.</w:t>
      </w:r>
    </w:p>
    <w:p w14:paraId="2E63C70B">
      <w:pPr>
        <w:rPr>
          <w:rFonts w:ascii="Verdana" w:hAnsi="Verdana"/>
          <w:sz w:val="24"/>
          <w:szCs w:val="24"/>
        </w:rPr>
      </w:pPr>
    </w:p>
    <w:p w14:paraId="296F3F20">
      <w:pPr>
        <w:rPr>
          <w:rFonts w:ascii="Verdana" w:hAnsi="Verdana"/>
          <w:sz w:val="24"/>
          <w:szCs w:val="24"/>
        </w:rPr>
      </w:pPr>
      <w:r>
        <w:rPr>
          <w:rFonts w:ascii="Verdana" w:hAnsi="Verdana"/>
          <w:sz w:val="24"/>
          <w:szCs w:val="24"/>
        </w:rPr>
        <w:t>Naše mjesto Brodarica i otok Krapanj su obiteljska destinacija bez velike gužve i masovnog turizma,stoga su u ovoj sezoni takva mjesta bila poželjna destinacija za odmor jer su se turisti htjeli na određen način distancirati,a opet doći na odmor. Prednost nam je što smo auto destinacija,što nam je u blizini autoput i što smo središte za obilazak mnogih turističkih lokaliteta. Otok Krapanj je također idealan kao destinacija bez mnogo gužve,a u isto vrijeme jako dostupan zbog čestih linija i taxi boata pa nije problem u bilo kojem trenu doći na otok i s otoka. Tijekom pandemije promijenile su se i navike ljudi,produžila se i sezona. Turisti ne žele više doći samo u špici sezone kada su velike gužve nego i u pred i post sezoni kada također imaju i lijepo vrijeme,sadržaje i mogu posjetiti što žele.</w:t>
      </w:r>
    </w:p>
    <w:p w14:paraId="6EFA1525">
      <w:pPr>
        <w:rPr>
          <w:rFonts w:ascii="Verdana" w:hAnsi="Verdana"/>
          <w:sz w:val="24"/>
          <w:szCs w:val="24"/>
        </w:rPr>
      </w:pPr>
    </w:p>
    <w:p w14:paraId="7130EA2E">
      <w:pPr>
        <w:rPr>
          <w:rFonts w:ascii="Verdana" w:hAnsi="Verdana"/>
          <w:sz w:val="24"/>
          <w:szCs w:val="24"/>
        </w:rPr>
      </w:pPr>
    </w:p>
    <w:p w14:paraId="42F4E419">
      <w:pPr>
        <w:rPr>
          <w:rFonts w:hint="default" w:ascii="Verdana" w:hAnsi="Verdana"/>
          <w:sz w:val="24"/>
          <w:szCs w:val="24"/>
          <w:lang w:val="hr-HR"/>
        </w:rPr>
      </w:pPr>
      <w:r>
        <w:rPr>
          <w:rFonts w:ascii="Verdana" w:hAnsi="Verdana"/>
          <w:sz w:val="24"/>
          <w:szCs w:val="24"/>
        </w:rPr>
        <w:t>Godišnji program rada za 202</w:t>
      </w:r>
      <w:r>
        <w:rPr>
          <w:rFonts w:hint="default" w:ascii="Verdana" w:hAnsi="Verdana"/>
          <w:sz w:val="24"/>
          <w:szCs w:val="24"/>
          <w:lang w:val="hr-HR"/>
        </w:rPr>
        <w:t>6</w:t>
      </w:r>
      <w:r>
        <w:rPr>
          <w:rFonts w:ascii="Verdana" w:hAnsi="Verdana"/>
          <w:sz w:val="24"/>
          <w:szCs w:val="24"/>
        </w:rPr>
        <w:t>. godinu ćemo izraditi sukladno financijskoj situaciji koju trenutno imamo te prema projekcijama kakva bi mogla biti 202</w:t>
      </w:r>
      <w:r>
        <w:rPr>
          <w:rFonts w:hint="default" w:ascii="Verdana" w:hAnsi="Verdana"/>
          <w:sz w:val="24"/>
          <w:szCs w:val="24"/>
          <w:lang w:val="hr-HR"/>
        </w:rPr>
        <w:t>6</w:t>
      </w:r>
      <w:r>
        <w:rPr>
          <w:rFonts w:ascii="Verdana" w:hAnsi="Verdana"/>
          <w:sz w:val="24"/>
          <w:szCs w:val="24"/>
        </w:rPr>
        <w:t>., a nastojat ćemo obuhvatiti svaki segment poslovanja,zadaća i ciljeva obuhvatiti planom, te zajedno s lokalnom samoupravom i zajedničkom suradnjom s regionalnom turističkom zajednicom i HTZ-om unapr</w:t>
      </w:r>
      <w:r>
        <w:rPr>
          <w:rFonts w:hint="default" w:ascii="Verdana" w:hAnsi="Verdana"/>
          <w:sz w:val="24"/>
          <w:szCs w:val="24"/>
          <w:lang w:val="hr-HR"/>
        </w:rPr>
        <w:t>i</w:t>
      </w:r>
      <w:r>
        <w:rPr>
          <w:rFonts w:ascii="Verdana" w:hAnsi="Verdana"/>
          <w:sz w:val="24"/>
          <w:szCs w:val="24"/>
        </w:rPr>
        <w:t>jeđivati i dalje turizam na području Turističke zajednice Krapanj-Brodarica</w:t>
      </w:r>
      <w:r>
        <w:rPr>
          <w:rFonts w:hint="default" w:ascii="Verdana" w:hAnsi="Verdana"/>
          <w:sz w:val="24"/>
          <w:szCs w:val="24"/>
          <w:lang w:val="hr-HR"/>
        </w:rPr>
        <w:t xml:space="preserve"> te izraditi strategiju razvoja prema novom Zakonu o turizmu koja mora biti gotova do kraja 2025.</w:t>
      </w:r>
    </w:p>
    <w:p w14:paraId="22F09B7C">
      <w:pPr>
        <w:rPr>
          <w:rFonts w:ascii="Verdana" w:hAnsi="Verdana"/>
          <w:sz w:val="24"/>
          <w:szCs w:val="24"/>
        </w:rPr>
      </w:pPr>
    </w:p>
    <w:p w14:paraId="01C6671D">
      <w:pPr>
        <w:rPr>
          <w:rFonts w:ascii="Verdana" w:hAnsi="Verdana"/>
          <w:sz w:val="24"/>
          <w:szCs w:val="24"/>
        </w:rPr>
      </w:pPr>
      <w:r>
        <w:rPr>
          <w:rFonts w:hint="default" w:ascii="Verdana" w:hAnsi="Verdana"/>
          <w:sz w:val="24"/>
          <w:szCs w:val="24"/>
          <w:lang w:val="hr-HR"/>
        </w:rPr>
        <w:t>U sezoni 2025. je ostvareno do izrade prijedloga programa rada 22 742 dolazaka i 167 003 noćenja.Što se tiče dolazaka u odnosu na 2024. je isti broj dolazaka, a u noćenjima je 5 % manje.U sezoni 2024. ostvareno je 23 137 dolazaka i 175 908 noćenja, a u 2023. ostvareno je 23680 dolazaka i 182 248 noćenja.</w:t>
      </w:r>
      <w:r>
        <w:rPr>
          <w:rFonts w:ascii="Verdana" w:hAnsi="Verdana"/>
          <w:sz w:val="24"/>
          <w:szCs w:val="24"/>
        </w:rPr>
        <w:t xml:space="preserve">U sezoni 2022.je ostvareno od 1.1.2022.-31.10.2022. </w:t>
      </w:r>
      <w:r>
        <w:rPr>
          <w:rFonts w:ascii="Verdana" w:hAnsi="Verdana"/>
          <w:b w:val="0"/>
          <w:bCs/>
          <w:sz w:val="24"/>
          <w:szCs w:val="24"/>
        </w:rPr>
        <w:t>24.360</w:t>
      </w:r>
      <w:r>
        <w:rPr>
          <w:rFonts w:ascii="Verdana" w:hAnsi="Verdana"/>
          <w:b/>
          <w:sz w:val="24"/>
          <w:szCs w:val="24"/>
        </w:rPr>
        <w:t xml:space="preserve"> </w:t>
      </w:r>
      <w:r>
        <w:rPr>
          <w:rFonts w:ascii="Verdana" w:hAnsi="Verdana"/>
          <w:sz w:val="24"/>
          <w:szCs w:val="24"/>
        </w:rPr>
        <w:t xml:space="preserve"> dolaska i </w:t>
      </w:r>
      <w:r>
        <w:rPr>
          <w:rFonts w:ascii="Verdana" w:hAnsi="Verdana"/>
          <w:b w:val="0"/>
          <w:bCs/>
          <w:sz w:val="24"/>
          <w:szCs w:val="24"/>
        </w:rPr>
        <w:t>190.886 noćenja</w:t>
      </w:r>
      <w:r>
        <w:rPr>
          <w:rFonts w:ascii="Verdana" w:hAnsi="Verdana"/>
          <w:sz w:val="24"/>
          <w:szCs w:val="24"/>
        </w:rPr>
        <w:t>. Što se tiče sezone 2020. TZ Krapanj je ostvarila 12.405 dolazaka gostiju i 109 000 noćenja,u 2021 je bilo 20.143 dolaska i 164.886 noćenja,dok je u 2019.godini bilo 26.064 dolaska i 199.131  noćenja.</w:t>
      </w:r>
    </w:p>
    <w:p w14:paraId="233E2808">
      <w:pPr>
        <w:rPr>
          <w:rFonts w:ascii="Verdana" w:hAnsi="Verdana"/>
          <w:sz w:val="24"/>
          <w:szCs w:val="24"/>
        </w:rPr>
      </w:pPr>
    </w:p>
    <w:p w14:paraId="60C05F47">
      <w:pPr>
        <w:rPr>
          <w:rFonts w:ascii="Verdana" w:hAnsi="Verdana"/>
          <w:sz w:val="24"/>
          <w:szCs w:val="24"/>
        </w:rPr>
      </w:pPr>
    </w:p>
    <w:p w14:paraId="6CB73450">
      <w:pPr>
        <w:rPr>
          <w:rFonts w:ascii="Verdana" w:hAnsi="Verdana"/>
          <w:sz w:val="24"/>
          <w:szCs w:val="24"/>
        </w:rPr>
      </w:pPr>
    </w:p>
    <w:p w14:paraId="5EE04FED">
      <w:pPr>
        <w:rPr>
          <w:rFonts w:ascii="Verdana" w:hAnsi="Verdana"/>
          <w:sz w:val="24"/>
          <w:szCs w:val="24"/>
        </w:rPr>
      </w:pPr>
    </w:p>
    <w:p w14:paraId="6E40B988">
      <w:pPr>
        <w:rPr>
          <w:rFonts w:ascii="Verdana" w:hAnsi="Verdana"/>
          <w:b/>
          <w:sz w:val="24"/>
          <w:szCs w:val="24"/>
          <w:u w:val="double"/>
        </w:rPr>
      </w:pPr>
      <w:r>
        <w:rPr>
          <w:rFonts w:ascii="Verdana" w:hAnsi="Verdana"/>
          <w:b/>
          <w:sz w:val="24"/>
          <w:szCs w:val="24"/>
          <w:u w:val="double"/>
        </w:rPr>
        <w:t>Smještajni kapaciteti u 202</w:t>
      </w:r>
      <w:r>
        <w:rPr>
          <w:rFonts w:hint="default" w:ascii="Verdana" w:hAnsi="Verdana"/>
          <w:b/>
          <w:sz w:val="24"/>
          <w:szCs w:val="24"/>
          <w:u w:val="double"/>
          <w:lang w:val="hr-HR"/>
        </w:rPr>
        <w:t>5</w:t>
      </w:r>
      <w:r>
        <w:rPr>
          <w:rFonts w:ascii="Verdana" w:hAnsi="Verdana"/>
          <w:b/>
          <w:sz w:val="24"/>
          <w:szCs w:val="24"/>
          <w:u w:val="double"/>
        </w:rPr>
        <w:t>. Na području TZ Krapanj-Brodarica:</w:t>
      </w:r>
    </w:p>
    <w:p w14:paraId="1D7E7995">
      <w:pPr>
        <w:pStyle w:val="9"/>
        <w:numPr>
          <w:ilvl w:val="0"/>
          <w:numId w:val="1"/>
        </w:numPr>
        <w:rPr>
          <w:rFonts w:ascii="Verdana" w:hAnsi="Verdana"/>
          <w:b/>
          <w:sz w:val="24"/>
          <w:szCs w:val="24"/>
        </w:rPr>
      </w:pPr>
      <w:r>
        <w:rPr>
          <w:rFonts w:ascii="Verdana" w:hAnsi="Verdana"/>
          <w:b/>
          <w:sz w:val="24"/>
          <w:szCs w:val="24"/>
        </w:rPr>
        <w:t>Hotel -  23 smještajne jedinice i 66 ležaja</w:t>
      </w:r>
    </w:p>
    <w:p w14:paraId="3B042B74">
      <w:pPr>
        <w:pStyle w:val="9"/>
        <w:numPr>
          <w:ilvl w:val="0"/>
          <w:numId w:val="1"/>
        </w:numPr>
        <w:rPr>
          <w:rFonts w:ascii="Verdana" w:hAnsi="Verdana"/>
          <w:b/>
          <w:sz w:val="24"/>
          <w:szCs w:val="24"/>
        </w:rPr>
      </w:pPr>
      <w:r>
        <w:rPr>
          <w:rFonts w:ascii="Verdana" w:hAnsi="Verdana"/>
          <w:b/>
          <w:sz w:val="24"/>
          <w:szCs w:val="24"/>
        </w:rPr>
        <w:t xml:space="preserve">Kamp – </w:t>
      </w:r>
      <w:r>
        <w:rPr>
          <w:rFonts w:hint="default" w:ascii="Verdana" w:hAnsi="Verdana"/>
          <w:b/>
          <w:sz w:val="24"/>
          <w:szCs w:val="24"/>
          <w:lang w:val="hr-HR"/>
        </w:rPr>
        <w:t>4</w:t>
      </w:r>
      <w:r>
        <w:rPr>
          <w:rFonts w:ascii="Verdana" w:hAnsi="Verdana"/>
          <w:b/>
          <w:sz w:val="24"/>
          <w:szCs w:val="24"/>
        </w:rPr>
        <w:t xml:space="preserve"> kampa, </w:t>
      </w:r>
      <w:r>
        <w:rPr>
          <w:rFonts w:hint="default" w:ascii="Verdana" w:hAnsi="Verdana"/>
          <w:b/>
          <w:sz w:val="24"/>
          <w:szCs w:val="24"/>
          <w:lang w:val="hr-HR"/>
        </w:rPr>
        <w:t>32</w:t>
      </w:r>
      <w:r>
        <w:rPr>
          <w:rFonts w:ascii="Verdana" w:hAnsi="Verdana"/>
          <w:b/>
          <w:sz w:val="24"/>
          <w:szCs w:val="24"/>
        </w:rPr>
        <w:t xml:space="preserve"> smještajnih jedinica i </w:t>
      </w:r>
      <w:r>
        <w:rPr>
          <w:rFonts w:hint="default" w:ascii="Verdana" w:hAnsi="Verdana"/>
          <w:b/>
          <w:sz w:val="24"/>
          <w:szCs w:val="24"/>
          <w:lang w:val="hr-HR"/>
        </w:rPr>
        <w:t>96</w:t>
      </w:r>
      <w:r>
        <w:rPr>
          <w:rFonts w:ascii="Verdana" w:hAnsi="Verdana"/>
          <w:b/>
          <w:sz w:val="24"/>
          <w:szCs w:val="24"/>
        </w:rPr>
        <w:t xml:space="preserve"> ležaj</w:t>
      </w:r>
      <w:r>
        <w:rPr>
          <w:rFonts w:hint="default" w:ascii="Verdana" w:hAnsi="Verdana"/>
          <w:b/>
          <w:sz w:val="24"/>
          <w:szCs w:val="24"/>
          <w:lang w:val="hr-HR"/>
        </w:rPr>
        <w:t>a</w:t>
      </w:r>
    </w:p>
    <w:p w14:paraId="456CB34E">
      <w:pPr>
        <w:pStyle w:val="9"/>
        <w:numPr>
          <w:ilvl w:val="0"/>
          <w:numId w:val="1"/>
        </w:numPr>
        <w:rPr>
          <w:rFonts w:ascii="Verdana" w:hAnsi="Verdana"/>
          <w:b/>
          <w:sz w:val="24"/>
          <w:szCs w:val="24"/>
        </w:rPr>
      </w:pPr>
      <w:r>
        <w:rPr>
          <w:rFonts w:ascii="Verdana" w:hAnsi="Verdana"/>
          <w:b/>
          <w:sz w:val="24"/>
          <w:szCs w:val="24"/>
        </w:rPr>
        <w:t>Hostel - 57 smještajnih jedinica i 160 ležaja</w:t>
      </w:r>
    </w:p>
    <w:p w14:paraId="22883CA9">
      <w:pPr>
        <w:pStyle w:val="9"/>
        <w:numPr>
          <w:ilvl w:val="0"/>
          <w:numId w:val="1"/>
        </w:numPr>
        <w:rPr>
          <w:rFonts w:ascii="Verdana" w:hAnsi="Verdana"/>
          <w:b/>
          <w:sz w:val="24"/>
          <w:szCs w:val="24"/>
        </w:rPr>
      </w:pPr>
      <w:r>
        <w:rPr>
          <w:rFonts w:ascii="Verdana" w:hAnsi="Verdana"/>
          <w:b/>
          <w:sz w:val="24"/>
          <w:szCs w:val="24"/>
        </w:rPr>
        <w:t xml:space="preserve">Privatni smještaj – </w:t>
      </w:r>
      <w:r>
        <w:rPr>
          <w:rFonts w:hint="default" w:ascii="Verdana" w:hAnsi="Verdana"/>
          <w:b/>
          <w:sz w:val="24"/>
          <w:szCs w:val="24"/>
          <w:lang w:val="hr-HR"/>
        </w:rPr>
        <w:t>650</w:t>
      </w:r>
      <w:r>
        <w:rPr>
          <w:rFonts w:ascii="Verdana" w:hAnsi="Verdana"/>
          <w:b/>
          <w:sz w:val="24"/>
          <w:szCs w:val="24"/>
        </w:rPr>
        <w:t xml:space="preserve"> smještajna objekta i 3</w:t>
      </w:r>
      <w:r>
        <w:rPr>
          <w:rFonts w:hint="default" w:ascii="Verdana" w:hAnsi="Verdana"/>
          <w:b/>
          <w:sz w:val="24"/>
          <w:szCs w:val="24"/>
          <w:lang w:val="hr-HR"/>
        </w:rPr>
        <w:t>300</w:t>
      </w:r>
      <w:r>
        <w:rPr>
          <w:rFonts w:ascii="Verdana" w:hAnsi="Verdana"/>
          <w:b/>
          <w:sz w:val="24"/>
          <w:szCs w:val="24"/>
        </w:rPr>
        <w:t xml:space="preserve"> ležaja</w:t>
      </w:r>
    </w:p>
    <w:p w14:paraId="72211374">
      <w:pPr>
        <w:pStyle w:val="9"/>
        <w:numPr>
          <w:ilvl w:val="0"/>
          <w:numId w:val="1"/>
        </w:numPr>
        <w:rPr>
          <w:rFonts w:ascii="Verdana" w:hAnsi="Verdana"/>
          <w:b/>
          <w:sz w:val="24"/>
          <w:szCs w:val="24"/>
        </w:rPr>
      </w:pPr>
      <w:r>
        <w:rPr>
          <w:rFonts w:ascii="Verdana" w:hAnsi="Verdana"/>
          <w:b/>
          <w:sz w:val="24"/>
          <w:szCs w:val="24"/>
        </w:rPr>
        <w:t>Nekomercijalni smještaj – 1</w:t>
      </w:r>
      <w:r>
        <w:rPr>
          <w:rFonts w:hint="default" w:ascii="Verdana" w:hAnsi="Verdana"/>
          <w:b/>
          <w:sz w:val="24"/>
          <w:szCs w:val="24"/>
          <w:lang w:val="hr-HR"/>
        </w:rPr>
        <w:t>50</w:t>
      </w:r>
      <w:r>
        <w:rPr>
          <w:rFonts w:ascii="Verdana" w:hAnsi="Verdana"/>
          <w:b/>
          <w:sz w:val="24"/>
          <w:szCs w:val="24"/>
        </w:rPr>
        <w:t xml:space="preserve"> objekata i 6</w:t>
      </w:r>
      <w:r>
        <w:rPr>
          <w:rFonts w:hint="default" w:ascii="Verdana" w:hAnsi="Verdana"/>
          <w:b/>
          <w:sz w:val="24"/>
          <w:szCs w:val="24"/>
          <w:lang w:val="hr-HR"/>
        </w:rPr>
        <w:t>70</w:t>
      </w:r>
      <w:r>
        <w:rPr>
          <w:rFonts w:ascii="Verdana" w:hAnsi="Verdana"/>
          <w:b/>
          <w:sz w:val="24"/>
          <w:szCs w:val="24"/>
        </w:rPr>
        <w:t xml:space="preserve"> ležaja</w:t>
      </w:r>
    </w:p>
    <w:p w14:paraId="2591EDAB">
      <w:pPr>
        <w:rPr>
          <w:rFonts w:hint="default" w:ascii="Verdana" w:hAnsi="Verdana"/>
          <w:b/>
          <w:sz w:val="24"/>
          <w:szCs w:val="24"/>
          <w:lang w:val="hr-HR"/>
        </w:rPr>
      </w:pPr>
    </w:p>
    <w:p w14:paraId="32467952">
      <w:pPr>
        <w:rPr>
          <w:rFonts w:hint="default" w:ascii="Verdana" w:hAnsi="Verdana"/>
          <w:b w:val="0"/>
          <w:bCs/>
          <w:sz w:val="24"/>
          <w:szCs w:val="24"/>
          <w:lang w:val="hr-HR"/>
        </w:rPr>
      </w:pPr>
      <w:r>
        <w:rPr>
          <w:rFonts w:hint="default" w:ascii="Verdana" w:hAnsi="Verdana"/>
          <w:b w:val="0"/>
          <w:bCs/>
          <w:sz w:val="24"/>
          <w:szCs w:val="24"/>
          <w:lang w:val="hr-HR"/>
        </w:rPr>
        <w:t>Broj ležaja varira,ovisno o razdoblju godine, a pošto se planovi izrađuju krajem godine,imamo smanjeni broj objekata i ležaja jer ljudi odjavljuju nakon sezone određeni broj kapaciteta.A u sezoni se može računati da ima od 10 do 15 % više nego na kraju godine.</w:t>
      </w:r>
    </w:p>
    <w:p w14:paraId="49284500">
      <w:pPr>
        <w:rPr>
          <w:rFonts w:ascii="Verdana" w:hAnsi="Verdana" w:cs="Times New Roman"/>
          <w:sz w:val="24"/>
          <w:szCs w:val="24"/>
        </w:rPr>
      </w:pPr>
      <w:r>
        <w:rPr>
          <w:rFonts w:ascii="Verdana" w:hAnsi="Verdana" w:cs="Times New Roman"/>
          <w:sz w:val="24"/>
          <w:szCs w:val="24"/>
        </w:rPr>
        <w:t xml:space="preserve">Turistička pristojba je ove godine u </w:t>
      </w:r>
      <w:r>
        <w:rPr>
          <w:rFonts w:hint="default" w:ascii="Verdana" w:hAnsi="Verdana" w:cs="Times New Roman"/>
          <w:sz w:val="24"/>
          <w:szCs w:val="24"/>
          <w:lang w:val="hr-HR"/>
        </w:rPr>
        <w:t>većem iznosu od 60,00 eura</w:t>
      </w:r>
      <w:r>
        <w:rPr>
          <w:rFonts w:ascii="Verdana" w:hAnsi="Verdana" w:cs="Times New Roman"/>
          <w:sz w:val="24"/>
          <w:szCs w:val="24"/>
        </w:rPr>
        <w:t xml:space="preserve"> i naplaćivali su se pomoćni ležajevi,a isto tako je i članarina u punom iznosu pa su nam financije nakon </w:t>
      </w:r>
      <w:r>
        <w:rPr>
          <w:rFonts w:hint="default" w:ascii="Verdana" w:hAnsi="Verdana" w:cs="Times New Roman"/>
          <w:sz w:val="24"/>
          <w:szCs w:val="24"/>
          <w:lang w:val="hr-HR"/>
        </w:rPr>
        <w:t>tri</w:t>
      </w:r>
      <w:r>
        <w:rPr>
          <w:rFonts w:ascii="Verdana" w:hAnsi="Verdana" w:cs="Times New Roman"/>
          <w:sz w:val="24"/>
          <w:szCs w:val="24"/>
        </w:rPr>
        <w:t xml:space="preserve"> godine napokon bile primjerene te se napokon mogu neki planovi i ostvariti.</w:t>
      </w:r>
    </w:p>
    <w:p w14:paraId="3E9712FD">
      <w:pPr>
        <w:rPr>
          <w:rFonts w:ascii="Verdana" w:hAnsi="Verdana" w:cs="Times New Roman"/>
          <w:sz w:val="24"/>
          <w:szCs w:val="24"/>
        </w:rPr>
      </w:pPr>
      <w:r>
        <w:rPr>
          <w:rFonts w:ascii="Verdana" w:hAnsi="Verdana" w:cs="Times New Roman"/>
          <w:sz w:val="24"/>
          <w:szCs w:val="24"/>
        </w:rPr>
        <w:t>Od 01.01.2020. Grad Šibenik,odnosno JLS automatizmom rasporedom sredstava uzima 30% turističke pristojbe,a dosada je bila praksa da zajednice uplaćuju same. Iz tog razloga se više taj iznos ne evidentira u prihodima i rashodima zajednice i prihodi su umanjeni za 30%.</w:t>
      </w:r>
    </w:p>
    <w:p w14:paraId="082B98AA">
      <w:pPr>
        <w:rPr>
          <w:rFonts w:ascii="Verdana" w:hAnsi="Verdana" w:cs="Times New Roman"/>
          <w:sz w:val="24"/>
          <w:szCs w:val="24"/>
        </w:rPr>
      </w:pPr>
      <w:r>
        <w:rPr>
          <w:rFonts w:ascii="Verdana" w:hAnsi="Verdana" w:cs="Times New Roman"/>
          <w:sz w:val="24"/>
          <w:szCs w:val="24"/>
        </w:rPr>
        <w:t>Kod planiranja programa rada za 202</w:t>
      </w:r>
      <w:r>
        <w:rPr>
          <w:rFonts w:hint="default" w:ascii="Verdana" w:hAnsi="Verdana" w:cs="Times New Roman"/>
          <w:sz w:val="24"/>
          <w:szCs w:val="24"/>
          <w:lang w:val="hr-HR"/>
        </w:rPr>
        <w:t>6</w:t>
      </w:r>
      <w:r>
        <w:rPr>
          <w:rFonts w:ascii="Verdana" w:hAnsi="Verdana" w:cs="Times New Roman"/>
          <w:sz w:val="24"/>
          <w:szCs w:val="24"/>
        </w:rPr>
        <w:t xml:space="preserve">. godinu polazište će biti na osnovnim ciljevima rada i djelovanja turističkih zajednica koji su definirani člankom 9. Zakona o turističkim zajednicama i promicanju hrvatskog turizma (NN 52/19 i 42/20),a to su: </w:t>
      </w:r>
    </w:p>
    <w:p w14:paraId="6591EC2A">
      <w:pPr>
        <w:rPr>
          <w:rFonts w:ascii="Verdana" w:hAnsi="Verdana"/>
          <w:b/>
          <w:color w:val="000000"/>
        </w:rPr>
      </w:pPr>
    </w:p>
    <w:p w14:paraId="283EE210">
      <w:pPr>
        <w:numPr>
          <w:ilvl w:val="0"/>
          <w:numId w:val="2"/>
        </w:numPr>
        <w:spacing w:after="160" w:line="259" w:lineRule="auto"/>
        <w:contextualSpacing/>
        <w:rPr>
          <w:rFonts w:ascii="Verdana" w:hAnsi="Verdana" w:eastAsia="Calibri" w:cs="Times New Roman"/>
          <w:sz w:val="24"/>
          <w:szCs w:val="24"/>
        </w:rPr>
      </w:pPr>
      <w:r>
        <w:rPr>
          <w:rFonts w:ascii="Verdana" w:hAnsi="Verdana" w:eastAsia="Calibri" w:cs="Times New Roman"/>
          <w:b/>
          <w:bCs/>
          <w:sz w:val="24"/>
          <w:szCs w:val="24"/>
        </w:rPr>
        <w:t>razvoj i marketing destinacije</w:t>
      </w:r>
      <w:r>
        <w:rPr>
          <w:rFonts w:ascii="Verdana" w:hAnsi="Verdana" w:eastAsia="Calibri" w:cs="Times New Roman"/>
          <w:sz w:val="24"/>
          <w:szCs w:val="24"/>
        </w:rPr>
        <w:t xml:space="preserve"> kroz koordiniranje ključnih aktivnosti turističkog razvoja (planiranje, razvoj turističkih proizvoda u destinaciji, financiranje, donošenje i provedba odluka), u skladu s dokumentima kojima se definira nacionalna strategija razvoja turizma.</w:t>
      </w:r>
    </w:p>
    <w:p w14:paraId="6319522E">
      <w:pPr>
        <w:spacing w:after="160" w:line="259" w:lineRule="auto"/>
        <w:ind w:left="720"/>
        <w:contextualSpacing/>
        <w:rPr>
          <w:rFonts w:ascii="Verdana" w:hAnsi="Verdana" w:eastAsia="Calibri" w:cs="Times New Roman"/>
          <w:sz w:val="24"/>
          <w:szCs w:val="24"/>
        </w:rPr>
      </w:pPr>
    </w:p>
    <w:p w14:paraId="5B908557">
      <w:pPr>
        <w:numPr>
          <w:ilvl w:val="0"/>
          <w:numId w:val="2"/>
        </w:numPr>
        <w:spacing w:after="160" w:line="259" w:lineRule="auto"/>
        <w:contextualSpacing/>
        <w:rPr>
          <w:rFonts w:ascii="Verdana" w:hAnsi="Verdana" w:eastAsia="Calibri" w:cs="Times New Roman"/>
          <w:sz w:val="24"/>
          <w:szCs w:val="24"/>
        </w:rPr>
      </w:pPr>
      <w:r>
        <w:rPr>
          <w:rFonts w:ascii="Verdana" w:hAnsi="Verdana" w:eastAsia="Calibri" w:cs="Times New Roman"/>
          <w:b/>
          <w:bCs/>
          <w:sz w:val="24"/>
          <w:szCs w:val="24"/>
        </w:rPr>
        <w:t xml:space="preserve">osiguravanje cjelovitije zastupljenosti specifičnih lokalnih/regionalnih interesa </w:t>
      </w:r>
      <w:r>
        <w:rPr>
          <w:rFonts w:ascii="Verdana" w:hAnsi="Verdana" w:eastAsia="Calibri" w:cs="Times New Roman"/>
          <w:sz w:val="24"/>
          <w:szCs w:val="24"/>
        </w:rPr>
        <w:t>kroz jačanje lokalne/regionalne inicijative i povezivanje dionika na lokalnom/regionalnom nivou radi stvaranja međunarodno konkurentnih turističkih proizvoda.</w:t>
      </w:r>
    </w:p>
    <w:p w14:paraId="66D53C42">
      <w:pPr>
        <w:spacing w:after="160" w:line="259" w:lineRule="auto"/>
        <w:ind w:left="720"/>
        <w:contextualSpacing/>
        <w:rPr>
          <w:rFonts w:ascii="Verdana" w:hAnsi="Verdana" w:eastAsia="Calibri" w:cs="Times New Roman"/>
          <w:b/>
          <w:bCs/>
          <w:sz w:val="24"/>
          <w:szCs w:val="24"/>
        </w:rPr>
      </w:pPr>
    </w:p>
    <w:p w14:paraId="3C0CAC53">
      <w:pPr>
        <w:numPr>
          <w:ilvl w:val="0"/>
          <w:numId w:val="2"/>
        </w:numPr>
        <w:spacing w:after="160" w:line="259" w:lineRule="auto"/>
        <w:contextualSpacing/>
        <w:rPr>
          <w:rFonts w:ascii="Verdana" w:hAnsi="Verdana" w:eastAsia="Calibri" w:cs="Times New Roman"/>
          <w:b/>
          <w:bCs/>
          <w:sz w:val="24"/>
          <w:szCs w:val="24"/>
        </w:rPr>
      </w:pPr>
      <w:r>
        <w:rPr>
          <w:rFonts w:ascii="Verdana" w:hAnsi="Verdana" w:eastAsia="Calibri" w:cs="Times New Roman"/>
          <w:b/>
          <w:bCs/>
          <w:sz w:val="24"/>
          <w:szCs w:val="24"/>
        </w:rPr>
        <w:t xml:space="preserve">poboljšanje uvjeta boravka turista u destinaciji </w:t>
      </w:r>
      <w:r>
        <w:rPr>
          <w:rFonts w:ascii="Verdana" w:hAnsi="Verdana" w:eastAsia="Calibri" w:cs="Times New Roman"/>
          <w:sz w:val="24"/>
          <w:szCs w:val="24"/>
        </w:rPr>
        <w:t>te razvijanje svijesti o važnosti i gospodarskim, društvenim i drugim učincima turizma, kao i potrebi i važnosti očuvanja i unaprjeđenja svih elemenata turističke resursne osnove određene destinacije, a osobito zaštite okoliša, kao i prirodne i kulturne baštine sukladno načelima održivog razvoja.</w:t>
      </w:r>
      <w:r>
        <w:rPr>
          <w:rFonts w:ascii="Verdana" w:hAnsi="Verdana" w:eastAsia="Calibri" w:cs="Times New Roman"/>
          <w:sz w:val="24"/>
          <w:szCs w:val="24"/>
        </w:rPr>
        <w:cr/>
      </w:r>
    </w:p>
    <w:p w14:paraId="3A6E0D48">
      <w:pPr>
        <w:ind w:left="360"/>
        <w:rPr>
          <w:rFonts w:ascii="Verdana" w:hAnsi="Verdana" w:eastAsia="Calibri" w:cs="Times New Roman"/>
          <w:b/>
          <w:bCs/>
          <w:sz w:val="24"/>
          <w:szCs w:val="24"/>
        </w:rPr>
      </w:pPr>
    </w:p>
    <w:p w14:paraId="71E9EE3F">
      <w:pPr>
        <w:spacing w:after="160" w:line="259" w:lineRule="auto"/>
        <w:ind w:left="720"/>
        <w:contextualSpacing/>
        <w:jc w:val="both"/>
        <w:rPr>
          <w:rFonts w:ascii="Verdana" w:hAnsi="Verdana" w:eastAsia="Calibri" w:cs="Times New Roman"/>
          <w:b/>
          <w:bCs/>
          <w:sz w:val="24"/>
          <w:szCs w:val="24"/>
        </w:rPr>
      </w:pPr>
    </w:p>
    <w:p w14:paraId="1C422838">
      <w:pPr>
        <w:spacing w:after="160" w:line="259" w:lineRule="auto"/>
        <w:jc w:val="both"/>
        <w:rPr>
          <w:rFonts w:hint="default" w:ascii="Verdana" w:hAnsi="Verdana" w:eastAsia="Calibri" w:cs="Times New Roman"/>
          <w:sz w:val="24"/>
          <w:szCs w:val="24"/>
          <w:lang w:val="hr-HR"/>
        </w:rPr>
      </w:pPr>
      <w:r>
        <w:rPr>
          <w:rFonts w:ascii="Verdana" w:hAnsi="Verdana" w:eastAsia="Calibri" w:cs="Times New Roman"/>
          <w:b/>
          <w:bCs/>
          <w:sz w:val="24"/>
          <w:szCs w:val="24"/>
        </w:rPr>
        <w:t>Zadaće lokalnih turističkih zajednica</w:t>
      </w:r>
      <w:r>
        <w:rPr>
          <w:rFonts w:ascii="Verdana" w:hAnsi="Verdana" w:eastAsia="Calibri" w:cs="Times New Roman"/>
          <w:sz w:val="24"/>
          <w:szCs w:val="24"/>
        </w:rPr>
        <w:t xml:space="preserve"> sadržane su u Zakonu o turističkim zajednicama i promicanju hrvatskog turizma (NN 52/19 i 42/20) prema razini ustroja turističkih zajednica po članku 32. Zakona. </w:t>
      </w:r>
      <w:r>
        <w:rPr>
          <w:rFonts w:hint="default" w:ascii="Verdana" w:hAnsi="Verdana" w:eastAsia="Calibri" w:cs="Times New Roman"/>
          <w:sz w:val="24"/>
          <w:szCs w:val="24"/>
          <w:lang w:val="hr-HR"/>
        </w:rPr>
        <w:t>Također će se novi planovi razvoja i nove strategije razvoja turizma u destinaciji planirati prema novom Zakonu o turizmu NN 156/23 i njegovim pravilnicima i propisima.</w:t>
      </w:r>
    </w:p>
    <w:p w14:paraId="2A41F689">
      <w:pPr>
        <w:spacing w:after="160" w:line="259" w:lineRule="auto"/>
        <w:jc w:val="both"/>
        <w:rPr>
          <w:rFonts w:ascii="Verdana" w:hAnsi="Verdana" w:eastAsia="Calibri" w:cs="Times New Roman"/>
          <w:sz w:val="24"/>
          <w:szCs w:val="24"/>
        </w:rPr>
      </w:pPr>
      <w:r>
        <w:rPr>
          <w:rFonts w:ascii="Verdana" w:hAnsi="Verdana" w:eastAsia="Calibri" w:cs="Times New Roman"/>
          <w:sz w:val="24"/>
          <w:szCs w:val="24"/>
        </w:rPr>
        <w:t>Godišnji program rada jasno prikazuje koji su  ciljevi koje se u promatranom razdoblju trebaju ostvariti (što želimo postići), kako će se  ti ciljevi ostvariti i koje aktivnosti se moraju poduzeti da bi se došlo do cilja (rezultata), naravno imajući u vidu specifičnost svake od razina ustroja.</w:t>
      </w:r>
    </w:p>
    <w:p w14:paraId="777C2521">
      <w:pPr>
        <w:spacing w:after="160" w:line="259" w:lineRule="auto"/>
        <w:jc w:val="both"/>
        <w:rPr>
          <w:rFonts w:ascii="Verdana" w:hAnsi="Verdana" w:eastAsia="Calibri" w:cs="Times New Roman"/>
          <w:sz w:val="24"/>
          <w:szCs w:val="24"/>
        </w:rPr>
      </w:pPr>
      <w:r>
        <w:rPr>
          <w:rFonts w:ascii="Verdana" w:hAnsi="Verdana" w:eastAsia="Calibri" w:cs="Times New Roman"/>
          <w:sz w:val="24"/>
          <w:szCs w:val="24"/>
        </w:rPr>
        <w:t>Uz generalne ciljeve propisane Zakonom, TZ Krapanj-Brodarica iskazuje detaljan i precizan cilj provođenja svih pojedinačno planiranih aktivnosti uzimajući u obzir ciljeve definirane strateškim marketinškim dokumentima  i smjernicama strateškog marketinškog i operativnog plana hrvatskog turizma do 2026.godine.A njegov poseban naglasak će biti na održivosti,digitalizaciji kao ključnoj odrednici konkurentnosti te jačanju kvalitete usluga i novim pristupima marketinškim aktivnostima.</w:t>
      </w:r>
    </w:p>
    <w:p w14:paraId="6EFE8403">
      <w:pPr>
        <w:jc w:val="both"/>
        <w:rPr>
          <w:rFonts w:ascii="Verdana" w:hAnsi="Verdana" w:eastAsia="Arial" w:cs="Times New Roman"/>
          <w:sz w:val="24"/>
          <w:szCs w:val="24"/>
        </w:rPr>
      </w:pPr>
    </w:p>
    <w:p w14:paraId="42A9306D">
      <w:pPr>
        <w:jc w:val="both"/>
        <w:rPr>
          <w:rFonts w:ascii="Verdana" w:hAnsi="Verdana" w:eastAsia="Arial" w:cs="Times New Roman"/>
          <w:sz w:val="24"/>
          <w:szCs w:val="24"/>
        </w:rPr>
      </w:pPr>
      <w:r>
        <w:rPr>
          <w:rFonts w:ascii="Verdana" w:hAnsi="Verdana" w:eastAsia="Arial" w:cs="Times New Roman"/>
          <w:sz w:val="24"/>
          <w:szCs w:val="24"/>
        </w:rPr>
        <w:t>Program rada TZ Krapanj – Brodarica sadrži pojedinačno utvrđene planirane zadatke i financijska sredstva potrebna za njihovo izvršenje prema zadaćama utvrđenim novim  Zakonom o turističkim zajednicama i promicanju hrvatskog turizma NN 52/19</w:t>
      </w:r>
      <w:r>
        <w:rPr>
          <w:rFonts w:hint="default" w:ascii="Verdana" w:hAnsi="Verdana" w:eastAsia="Arial" w:cs="Times New Roman"/>
          <w:sz w:val="24"/>
          <w:szCs w:val="24"/>
          <w:lang w:val="hr-HR"/>
        </w:rPr>
        <w:t xml:space="preserve"> i 42/20</w:t>
      </w:r>
      <w:r>
        <w:rPr>
          <w:rFonts w:ascii="Verdana" w:hAnsi="Verdana" w:eastAsia="Arial" w:cs="Times New Roman"/>
          <w:sz w:val="24"/>
          <w:szCs w:val="24"/>
        </w:rPr>
        <w:t xml:space="preserve"> i zadanoj metodologiji izrade programa,a obuhvaća slijedeće aktivnosti:</w:t>
      </w:r>
    </w:p>
    <w:p w14:paraId="6D7CD901">
      <w:pPr>
        <w:jc w:val="both"/>
        <w:rPr>
          <w:rFonts w:ascii="Verdana" w:hAnsi="Verdana" w:eastAsia="Arial" w:cs="Times New Roman"/>
          <w:sz w:val="24"/>
          <w:szCs w:val="24"/>
        </w:rPr>
      </w:pPr>
      <w:r>
        <w:rPr>
          <w:rFonts w:ascii="Verdana" w:hAnsi="Verdana" w:eastAsia="Arial" w:cs="Times New Roman"/>
          <w:sz w:val="24"/>
          <w:szCs w:val="24"/>
        </w:rPr>
        <w:t>-istraživanje i strateško planiranje</w:t>
      </w:r>
    </w:p>
    <w:p w14:paraId="49ADF44C">
      <w:pPr>
        <w:jc w:val="both"/>
        <w:rPr>
          <w:rFonts w:ascii="Verdana" w:hAnsi="Verdana" w:eastAsia="Arial" w:cs="Times New Roman"/>
          <w:sz w:val="24"/>
          <w:szCs w:val="24"/>
        </w:rPr>
      </w:pPr>
      <w:r>
        <w:rPr>
          <w:rFonts w:ascii="Verdana" w:hAnsi="Verdana" w:eastAsia="Arial" w:cs="Times New Roman"/>
          <w:sz w:val="24"/>
          <w:szCs w:val="24"/>
        </w:rPr>
        <w:t>-razvoj turističkog proizvoda</w:t>
      </w:r>
    </w:p>
    <w:p w14:paraId="11FD9A35">
      <w:pPr>
        <w:jc w:val="both"/>
        <w:rPr>
          <w:rFonts w:ascii="Verdana" w:hAnsi="Verdana" w:eastAsia="Arial" w:cs="Times New Roman"/>
          <w:sz w:val="24"/>
          <w:szCs w:val="24"/>
        </w:rPr>
      </w:pPr>
      <w:r>
        <w:rPr>
          <w:rFonts w:ascii="Verdana" w:hAnsi="Verdana" w:eastAsia="Arial" w:cs="Times New Roman"/>
          <w:sz w:val="24"/>
          <w:szCs w:val="24"/>
        </w:rPr>
        <w:t>-komunikacija i oglašavanje</w:t>
      </w:r>
    </w:p>
    <w:p w14:paraId="1B0E8FD5">
      <w:pPr>
        <w:jc w:val="both"/>
        <w:rPr>
          <w:rFonts w:ascii="Verdana" w:hAnsi="Verdana" w:eastAsia="Arial" w:cs="Times New Roman"/>
          <w:sz w:val="24"/>
          <w:szCs w:val="24"/>
        </w:rPr>
      </w:pPr>
      <w:r>
        <w:rPr>
          <w:rFonts w:ascii="Verdana" w:hAnsi="Verdana" w:eastAsia="Arial" w:cs="Times New Roman"/>
          <w:sz w:val="24"/>
          <w:szCs w:val="24"/>
        </w:rPr>
        <w:t>-destinacijski menadžment</w:t>
      </w:r>
    </w:p>
    <w:p w14:paraId="4EA224FF">
      <w:pPr>
        <w:jc w:val="both"/>
        <w:rPr>
          <w:rFonts w:ascii="Verdana" w:hAnsi="Verdana" w:eastAsia="Arial" w:cs="Times New Roman"/>
          <w:sz w:val="24"/>
          <w:szCs w:val="24"/>
        </w:rPr>
      </w:pPr>
      <w:r>
        <w:rPr>
          <w:rFonts w:ascii="Verdana" w:hAnsi="Verdana" w:eastAsia="Arial" w:cs="Times New Roman"/>
          <w:sz w:val="24"/>
          <w:szCs w:val="24"/>
        </w:rPr>
        <w:t>-članstvo u strukovnim organizacijama</w:t>
      </w:r>
    </w:p>
    <w:p w14:paraId="7BAC88D2">
      <w:pPr>
        <w:jc w:val="both"/>
        <w:rPr>
          <w:rFonts w:ascii="Verdana" w:hAnsi="Verdana" w:eastAsia="Arial" w:cs="Times New Roman"/>
          <w:sz w:val="24"/>
          <w:szCs w:val="24"/>
        </w:rPr>
      </w:pPr>
      <w:r>
        <w:rPr>
          <w:rFonts w:ascii="Verdana" w:hAnsi="Verdana" w:eastAsia="Arial" w:cs="Times New Roman"/>
          <w:sz w:val="24"/>
          <w:szCs w:val="24"/>
        </w:rPr>
        <w:t>-administrativni rashodi</w:t>
      </w:r>
    </w:p>
    <w:p w14:paraId="2A46D382">
      <w:pPr>
        <w:jc w:val="both"/>
        <w:rPr>
          <w:rFonts w:ascii="Verdana" w:hAnsi="Verdana" w:eastAsia="Arial" w:cs="Times New Roman"/>
          <w:sz w:val="24"/>
          <w:szCs w:val="24"/>
        </w:rPr>
      </w:pPr>
    </w:p>
    <w:p w14:paraId="3FE3189F">
      <w:pPr>
        <w:jc w:val="both"/>
        <w:rPr>
          <w:rFonts w:ascii="Verdana" w:hAnsi="Verdana" w:eastAsia="Arial" w:cs="Times New Roman"/>
          <w:sz w:val="24"/>
          <w:szCs w:val="24"/>
        </w:rPr>
      </w:pPr>
    </w:p>
    <w:p w14:paraId="3F332616">
      <w:pPr>
        <w:jc w:val="both"/>
        <w:rPr>
          <w:rFonts w:ascii="Verdana" w:hAnsi="Verdana" w:eastAsia="Arial" w:cs="Times New Roman"/>
          <w:sz w:val="24"/>
          <w:szCs w:val="24"/>
        </w:rPr>
      </w:pPr>
    </w:p>
    <w:p w14:paraId="29004844">
      <w:pPr>
        <w:jc w:val="both"/>
        <w:rPr>
          <w:rFonts w:ascii="Verdana" w:hAnsi="Verdana" w:eastAsia="Arial" w:cs="Times New Roman"/>
          <w:b/>
          <w:sz w:val="24"/>
          <w:szCs w:val="24"/>
        </w:rPr>
      </w:pPr>
    </w:p>
    <w:p w14:paraId="2794355A">
      <w:pPr>
        <w:jc w:val="both"/>
        <w:rPr>
          <w:rFonts w:hint="default" w:ascii="Verdana" w:hAnsi="Verdana" w:eastAsia="Arial" w:cs="Times New Roman"/>
          <w:b/>
          <w:sz w:val="24"/>
          <w:szCs w:val="24"/>
          <w:lang w:val="hr-HR"/>
        </w:rPr>
      </w:pPr>
      <w:r>
        <w:rPr>
          <w:rFonts w:ascii="Verdana" w:hAnsi="Verdana" w:eastAsia="Arial" w:cs="Times New Roman"/>
          <w:b/>
          <w:sz w:val="24"/>
          <w:szCs w:val="24"/>
        </w:rPr>
        <w:t>PLAN PRIHODA U 202</w:t>
      </w:r>
      <w:r>
        <w:rPr>
          <w:rFonts w:hint="default" w:ascii="Verdana" w:hAnsi="Verdana" w:eastAsia="Arial" w:cs="Times New Roman"/>
          <w:b/>
          <w:sz w:val="24"/>
          <w:szCs w:val="24"/>
          <w:lang w:val="hr-HR"/>
        </w:rPr>
        <w:t>6</w:t>
      </w:r>
      <w:r>
        <w:rPr>
          <w:rFonts w:ascii="Verdana" w:hAnsi="Verdana" w:eastAsia="Arial" w:cs="Times New Roman"/>
          <w:b/>
          <w:sz w:val="24"/>
          <w:szCs w:val="24"/>
        </w:rPr>
        <w:t>.</w:t>
      </w:r>
      <w:r>
        <w:rPr>
          <w:rFonts w:hint="default" w:ascii="Verdana" w:hAnsi="Verdana" w:eastAsia="Arial" w:cs="Times New Roman"/>
          <w:b/>
          <w:sz w:val="24"/>
          <w:szCs w:val="24"/>
          <w:lang w:val="hr-HR"/>
        </w:rPr>
        <w:t>GODINI</w:t>
      </w:r>
    </w:p>
    <w:p w14:paraId="12D3E8E7">
      <w:pPr>
        <w:jc w:val="both"/>
        <w:rPr>
          <w:rFonts w:ascii="Verdana" w:hAnsi="Verdana" w:eastAsia="Arial" w:cs="Times New Roman"/>
          <w:b/>
          <w:sz w:val="24"/>
          <w:szCs w:val="24"/>
        </w:rPr>
      </w:pPr>
    </w:p>
    <w:p w14:paraId="5CF9E5A0">
      <w:pPr>
        <w:jc w:val="both"/>
        <w:rPr>
          <w:rFonts w:ascii="Verdana" w:hAnsi="Verdana" w:eastAsia="Arial" w:cs="Times New Roman"/>
          <w:sz w:val="24"/>
          <w:szCs w:val="24"/>
        </w:rPr>
      </w:pPr>
      <w:r>
        <w:rPr>
          <w:rFonts w:ascii="Verdana" w:hAnsi="Verdana" w:eastAsia="Arial" w:cs="Times New Roman"/>
          <w:sz w:val="24"/>
          <w:szCs w:val="24"/>
        </w:rPr>
        <w:t>Plan prihoda se temelji na donesenim propisima o visinama turističke pristojbe i članarine te trenutnoj situaciji u Hrvatskoj i svijetu te o ostalim predviđenim donacijama i prihodima kao što su javni natječaji,donacije za manifestacije,prihod od najma prostora za bankomat</w:t>
      </w:r>
    </w:p>
    <w:p w14:paraId="3EF3CBD5">
      <w:pPr>
        <w:jc w:val="both"/>
        <w:rPr>
          <w:rFonts w:hint="default" w:ascii="Verdana" w:hAnsi="Verdana" w:eastAsia="Arial" w:cs="Times New Roman"/>
          <w:sz w:val="24"/>
          <w:szCs w:val="24"/>
          <w:lang w:val="hr-HR"/>
        </w:rPr>
      </w:pPr>
      <w:r>
        <w:rPr>
          <w:rFonts w:hint="default" w:ascii="Verdana" w:hAnsi="Verdana" w:eastAsia="Arial" w:cs="Times New Roman"/>
          <w:sz w:val="24"/>
          <w:szCs w:val="24"/>
          <w:lang w:val="hr-HR"/>
        </w:rPr>
        <w:t>Postoji i mogućnost da neki iznajmljivači i otkažu kapacitete ili smanje zbog novih nameta i skupljih davanja.</w:t>
      </w:r>
    </w:p>
    <w:p w14:paraId="57D11EDB">
      <w:pPr>
        <w:jc w:val="both"/>
        <w:rPr>
          <w:rFonts w:ascii="Verdana" w:hAnsi="Verdana" w:eastAsia="Arial" w:cs="Times New Roman"/>
          <w:sz w:val="24"/>
          <w:szCs w:val="24"/>
        </w:rPr>
      </w:pPr>
      <w:r>
        <w:rPr>
          <w:rFonts w:ascii="Verdana" w:hAnsi="Verdana" w:eastAsia="Arial" w:cs="Times New Roman"/>
          <w:sz w:val="24"/>
          <w:szCs w:val="24"/>
        </w:rPr>
        <w:t>U prihode više ne ulazi ni stavka 30% turističke pristojbe koja se uplaćuje gradu/općini jer od 1.1.2020. se automatski naplaćuje sam grad ili općina.</w:t>
      </w:r>
    </w:p>
    <w:p w14:paraId="26CDA258">
      <w:pPr>
        <w:jc w:val="both"/>
        <w:rPr>
          <w:rFonts w:ascii="Verdana" w:hAnsi="Verdana" w:eastAsia="Arial" w:cs="Times New Roman"/>
          <w:sz w:val="24"/>
          <w:szCs w:val="24"/>
        </w:rPr>
      </w:pPr>
      <w:r>
        <w:rPr>
          <w:rFonts w:ascii="Verdana" w:hAnsi="Verdana" w:eastAsia="Arial" w:cs="Times New Roman"/>
          <w:sz w:val="24"/>
          <w:szCs w:val="24"/>
        </w:rPr>
        <w:t>Predviđa se da će prihodi biti manji u razdoblju od 1.1.202</w:t>
      </w:r>
      <w:r>
        <w:rPr>
          <w:rFonts w:hint="default" w:ascii="Verdana" w:hAnsi="Verdana" w:eastAsia="Arial" w:cs="Times New Roman"/>
          <w:sz w:val="24"/>
          <w:szCs w:val="24"/>
          <w:lang w:val="hr-HR"/>
        </w:rPr>
        <w:t>6</w:t>
      </w:r>
      <w:r>
        <w:rPr>
          <w:rFonts w:ascii="Verdana" w:hAnsi="Verdana" w:eastAsia="Arial" w:cs="Times New Roman"/>
          <w:sz w:val="24"/>
          <w:szCs w:val="24"/>
        </w:rPr>
        <w:t>. do 1.6.202</w:t>
      </w:r>
      <w:r>
        <w:rPr>
          <w:rFonts w:hint="default" w:ascii="Verdana" w:hAnsi="Verdana" w:eastAsia="Arial" w:cs="Times New Roman"/>
          <w:sz w:val="24"/>
          <w:szCs w:val="24"/>
          <w:lang w:val="hr-HR"/>
        </w:rPr>
        <w:t>6</w:t>
      </w:r>
      <w:r>
        <w:rPr>
          <w:rFonts w:ascii="Verdana" w:hAnsi="Verdana" w:eastAsia="Arial" w:cs="Times New Roman"/>
          <w:sz w:val="24"/>
          <w:szCs w:val="24"/>
        </w:rPr>
        <w:t>. 20% uplata , a to se odnosi na eventualne zaostatke uplata turističke pristojbe te uplate dijela članarina kao i donacije. Ostatak prihoda 60% će biti uprihodovano od 1.6.202</w:t>
      </w:r>
      <w:r>
        <w:rPr>
          <w:rFonts w:hint="default" w:ascii="Verdana" w:hAnsi="Verdana" w:eastAsia="Arial" w:cs="Times New Roman"/>
          <w:sz w:val="24"/>
          <w:szCs w:val="24"/>
          <w:lang w:val="hr-HR"/>
        </w:rPr>
        <w:t>6</w:t>
      </w:r>
      <w:r>
        <w:rPr>
          <w:rFonts w:ascii="Verdana" w:hAnsi="Verdana" w:eastAsia="Arial" w:cs="Times New Roman"/>
          <w:sz w:val="24"/>
          <w:szCs w:val="24"/>
        </w:rPr>
        <w:t>. do 31.10.202</w:t>
      </w:r>
      <w:r>
        <w:rPr>
          <w:rFonts w:hint="default" w:ascii="Verdana" w:hAnsi="Verdana" w:eastAsia="Arial" w:cs="Times New Roman"/>
          <w:sz w:val="24"/>
          <w:szCs w:val="24"/>
          <w:lang w:val="hr-HR"/>
        </w:rPr>
        <w:t>6</w:t>
      </w:r>
      <w:r>
        <w:rPr>
          <w:rFonts w:ascii="Verdana" w:hAnsi="Verdana" w:eastAsia="Arial" w:cs="Times New Roman"/>
          <w:sz w:val="24"/>
          <w:szCs w:val="24"/>
        </w:rPr>
        <w:t>. Ostalih 20% biti će uplaćeno do kraja godine.</w:t>
      </w:r>
    </w:p>
    <w:p w14:paraId="2345D916">
      <w:pPr>
        <w:jc w:val="both"/>
        <w:rPr>
          <w:rFonts w:ascii="Verdana" w:hAnsi="Verdana" w:eastAsia="Arial" w:cs="Times New Roman"/>
          <w:sz w:val="24"/>
          <w:szCs w:val="24"/>
        </w:rPr>
      </w:pPr>
    </w:p>
    <w:p w14:paraId="6CD363B0">
      <w:pPr>
        <w:jc w:val="both"/>
        <w:rPr>
          <w:rFonts w:ascii="Verdana" w:hAnsi="Verdana" w:eastAsia="Arial" w:cs="Times New Roman"/>
          <w:sz w:val="24"/>
          <w:szCs w:val="24"/>
        </w:rPr>
      </w:pPr>
    </w:p>
    <w:p w14:paraId="0D79F54E">
      <w:pPr>
        <w:jc w:val="both"/>
        <w:rPr>
          <w:rFonts w:ascii="Verdana" w:hAnsi="Verdana" w:eastAsia="Arial" w:cs="Times New Roman"/>
          <w:b/>
          <w:sz w:val="24"/>
          <w:szCs w:val="24"/>
        </w:rPr>
      </w:pPr>
      <w:r>
        <w:rPr>
          <w:rFonts w:ascii="Verdana" w:hAnsi="Verdana" w:eastAsia="Arial" w:cs="Times New Roman"/>
          <w:b/>
          <w:sz w:val="24"/>
          <w:szCs w:val="24"/>
        </w:rPr>
        <w:t>1.Prihodi:</w:t>
      </w:r>
    </w:p>
    <w:p w14:paraId="24CCC3A4">
      <w:pPr>
        <w:ind w:left="360"/>
        <w:jc w:val="both"/>
        <w:rPr>
          <w:rFonts w:ascii="Verdana" w:hAnsi="Verdana" w:eastAsia="Arial" w:cs="Times New Roman"/>
          <w:sz w:val="24"/>
          <w:szCs w:val="24"/>
        </w:rPr>
      </w:pPr>
      <w:r>
        <w:rPr>
          <w:rFonts w:ascii="Verdana" w:hAnsi="Verdana" w:eastAsia="Arial" w:cs="Times New Roman"/>
          <w:sz w:val="24"/>
          <w:szCs w:val="24"/>
        </w:rPr>
        <w:t xml:space="preserve">1.1.Turistička pristojba – </w:t>
      </w:r>
      <w:r>
        <w:rPr>
          <w:rFonts w:hint="default" w:ascii="Verdana" w:hAnsi="Verdana" w:eastAsia="Arial" w:cs="Times New Roman"/>
          <w:sz w:val="24"/>
          <w:szCs w:val="24"/>
          <w:lang w:val="hr-HR"/>
        </w:rPr>
        <w:t>85</w:t>
      </w:r>
      <w:r>
        <w:rPr>
          <w:rFonts w:ascii="Verdana" w:hAnsi="Verdana" w:eastAsia="Arial" w:cs="Times New Roman"/>
          <w:sz w:val="24"/>
          <w:szCs w:val="24"/>
        </w:rPr>
        <w:t>.000,00 eura</w:t>
      </w:r>
    </w:p>
    <w:p w14:paraId="634A6CD5">
      <w:pPr>
        <w:ind w:left="360"/>
        <w:jc w:val="both"/>
        <w:rPr>
          <w:rFonts w:ascii="Verdana" w:hAnsi="Verdana" w:eastAsia="Arial" w:cs="Times New Roman"/>
          <w:sz w:val="24"/>
          <w:szCs w:val="24"/>
        </w:rPr>
      </w:pPr>
      <w:r>
        <w:rPr>
          <w:rFonts w:ascii="Verdana" w:hAnsi="Verdana" w:eastAsia="Arial" w:cs="Times New Roman"/>
          <w:sz w:val="24"/>
          <w:szCs w:val="24"/>
        </w:rPr>
        <w:t xml:space="preserve">1.2.Članarina – </w:t>
      </w:r>
      <w:r>
        <w:rPr>
          <w:rFonts w:hint="default" w:ascii="Verdana" w:hAnsi="Verdana" w:eastAsia="Arial" w:cs="Times New Roman"/>
          <w:sz w:val="24"/>
          <w:szCs w:val="24"/>
          <w:lang w:val="hr-HR"/>
        </w:rPr>
        <w:t>9</w:t>
      </w:r>
      <w:r>
        <w:rPr>
          <w:rFonts w:ascii="Verdana" w:hAnsi="Verdana" w:eastAsia="Arial" w:cs="Times New Roman"/>
          <w:sz w:val="24"/>
          <w:szCs w:val="24"/>
        </w:rPr>
        <w:t xml:space="preserve">.000,00 eura  </w:t>
      </w:r>
    </w:p>
    <w:p w14:paraId="0A3FF55A">
      <w:pPr>
        <w:ind w:left="360"/>
        <w:jc w:val="both"/>
        <w:rPr>
          <w:rFonts w:ascii="Verdana" w:hAnsi="Verdana" w:eastAsia="Arial" w:cs="Times New Roman"/>
          <w:sz w:val="24"/>
          <w:szCs w:val="24"/>
        </w:rPr>
      </w:pPr>
      <w:r>
        <w:rPr>
          <w:rFonts w:ascii="Verdana" w:hAnsi="Verdana" w:eastAsia="Arial" w:cs="Times New Roman"/>
          <w:sz w:val="24"/>
          <w:szCs w:val="24"/>
        </w:rPr>
        <w:t xml:space="preserve">1.3.Ostali izvori,donacije,potpore i najam za bankomat – </w:t>
      </w:r>
      <w:r>
        <w:rPr>
          <w:rFonts w:hint="default" w:ascii="Verdana" w:hAnsi="Verdana" w:eastAsia="Arial" w:cs="Times New Roman"/>
          <w:sz w:val="24"/>
          <w:szCs w:val="24"/>
          <w:lang w:val="hr-HR"/>
        </w:rPr>
        <w:t>4</w:t>
      </w:r>
      <w:r>
        <w:rPr>
          <w:rFonts w:ascii="Verdana" w:hAnsi="Verdana" w:eastAsia="Arial" w:cs="Times New Roman"/>
          <w:sz w:val="24"/>
          <w:szCs w:val="24"/>
        </w:rPr>
        <w:t>.000,00 eura</w:t>
      </w:r>
    </w:p>
    <w:p w14:paraId="580F07CD">
      <w:pPr>
        <w:ind w:left="360"/>
        <w:jc w:val="both"/>
        <w:rPr>
          <w:rFonts w:ascii="Verdana" w:hAnsi="Verdana" w:eastAsia="Arial" w:cs="Times New Roman"/>
          <w:sz w:val="24"/>
          <w:szCs w:val="24"/>
        </w:rPr>
      </w:pPr>
      <w:r>
        <w:rPr>
          <w:rFonts w:ascii="Verdana" w:hAnsi="Verdana" w:eastAsia="Arial" w:cs="Times New Roman"/>
          <w:sz w:val="24"/>
          <w:szCs w:val="24"/>
        </w:rPr>
        <w:t xml:space="preserve">1.4.Preneseni prihod iz prethodne godine – </w:t>
      </w:r>
      <w:r>
        <w:rPr>
          <w:rFonts w:hint="default" w:ascii="Verdana" w:hAnsi="Verdana" w:eastAsia="Arial" w:cs="Times New Roman"/>
          <w:sz w:val="24"/>
          <w:szCs w:val="24"/>
          <w:lang w:val="hr-HR"/>
        </w:rPr>
        <w:t>30</w:t>
      </w:r>
      <w:r>
        <w:rPr>
          <w:rFonts w:ascii="Verdana" w:hAnsi="Verdana" w:eastAsia="Arial" w:cs="Times New Roman"/>
          <w:sz w:val="24"/>
          <w:szCs w:val="24"/>
        </w:rPr>
        <w:t>.000,00 eura</w:t>
      </w:r>
    </w:p>
    <w:p w14:paraId="2D284E71">
      <w:pPr>
        <w:spacing w:after="160" w:line="259" w:lineRule="auto"/>
        <w:jc w:val="both"/>
        <w:rPr>
          <w:rFonts w:ascii="Verdana" w:hAnsi="Verdana" w:eastAsia="Calibri" w:cs="Times New Roman"/>
          <w:sz w:val="24"/>
          <w:szCs w:val="24"/>
        </w:rPr>
      </w:pPr>
    </w:p>
    <w:p w14:paraId="30BA2DB1">
      <w:pPr>
        <w:tabs>
          <w:tab w:val="left" w:pos="1905"/>
        </w:tabs>
        <w:rPr>
          <w:b/>
          <w:sz w:val="28"/>
          <w:szCs w:val="28"/>
        </w:rPr>
      </w:pPr>
      <w:r>
        <w:rPr>
          <w:b/>
          <w:sz w:val="28"/>
          <w:szCs w:val="28"/>
        </w:rPr>
        <w:t>UKUPNI: 1</w:t>
      </w:r>
      <w:r>
        <w:rPr>
          <w:rFonts w:hint="default"/>
          <w:b/>
          <w:sz w:val="28"/>
          <w:szCs w:val="28"/>
          <w:lang w:val="hr-HR"/>
        </w:rPr>
        <w:t>28</w:t>
      </w:r>
      <w:r>
        <w:rPr>
          <w:b/>
          <w:sz w:val="28"/>
          <w:szCs w:val="28"/>
        </w:rPr>
        <w:t>.000,00 eura</w:t>
      </w:r>
    </w:p>
    <w:p w14:paraId="29E87B33">
      <w:pPr>
        <w:tabs>
          <w:tab w:val="left" w:pos="1905"/>
        </w:tabs>
        <w:rPr>
          <w:b/>
          <w:sz w:val="28"/>
          <w:szCs w:val="28"/>
        </w:rPr>
      </w:pPr>
    </w:p>
    <w:p w14:paraId="4F5A3763">
      <w:pPr>
        <w:tabs>
          <w:tab w:val="left" w:pos="1905"/>
        </w:tabs>
        <w:rPr>
          <w:b/>
          <w:sz w:val="28"/>
          <w:szCs w:val="28"/>
        </w:rPr>
      </w:pPr>
    </w:p>
    <w:p w14:paraId="25252F9B">
      <w:pPr>
        <w:tabs>
          <w:tab w:val="left" w:pos="1905"/>
        </w:tabs>
        <w:rPr>
          <w:b/>
          <w:sz w:val="28"/>
          <w:szCs w:val="28"/>
        </w:rPr>
      </w:pPr>
    </w:p>
    <w:p w14:paraId="41B6C908">
      <w:pPr>
        <w:tabs>
          <w:tab w:val="left" w:pos="1905"/>
        </w:tabs>
        <w:rPr>
          <w:b/>
          <w:sz w:val="28"/>
          <w:szCs w:val="28"/>
        </w:rPr>
      </w:pPr>
    </w:p>
    <w:p w14:paraId="7666D454">
      <w:pPr>
        <w:tabs>
          <w:tab w:val="left" w:pos="1905"/>
        </w:tabs>
        <w:rPr>
          <w:b/>
          <w:sz w:val="28"/>
          <w:szCs w:val="28"/>
        </w:rPr>
      </w:pPr>
    </w:p>
    <w:p w14:paraId="6FAF7742">
      <w:pPr>
        <w:tabs>
          <w:tab w:val="left" w:pos="1905"/>
        </w:tabs>
        <w:rPr>
          <w:b/>
          <w:sz w:val="28"/>
          <w:szCs w:val="28"/>
        </w:rPr>
      </w:pPr>
    </w:p>
    <w:p w14:paraId="03A59DE3">
      <w:pPr>
        <w:tabs>
          <w:tab w:val="left" w:pos="1905"/>
        </w:tabs>
        <w:rPr>
          <w:b/>
          <w:sz w:val="28"/>
          <w:szCs w:val="28"/>
        </w:rPr>
      </w:pPr>
    </w:p>
    <w:p w14:paraId="125305B2">
      <w:pPr>
        <w:tabs>
          <w:tab w:val="left" w:pos="1905"/>
        </w:tabs>
        <w:rPr>
          <w:rFonts w:ascii="Verdana" w:hAnsi="Verdana"/>
          <w:b/>
          <w:sz w:val="24"/>
          <w:szCs w:val="24"/>
        </w:rPr>
      </w:pPr>
      <w:r>
        <w:rPr>
          <w:rFonts w:ascii="Verdana" w:hAnsi="Verdana"/>
          <w:b/>
          <w:sz w:val="24"/>
          <w:szCs w:val="24"/>
        </w:rPr>
        <w:t>PLAN RASHODA U 202</w:t>
      </w:r>
      <w:r>
        <w:rPr>
          <w:rFonts w:hint="default" w:ascii="Verdana" w:hAnsi="Verdana"/>
          <w:b/>
          <w:sz w:val="24"/>
          <w:szCs w:val="24"/>
          <w:lang w:val="hr-HR"/>
        </w:rPr>
        <w:t>6</w:t>
      </w:r>
      <w:r>
        <w:rPr>
          <w:rFonts w:ascii="Verdana" w:hAnsi="Verdana"/>
          <w:b/>
          <w:sz w:val="24"/>
          <w:szCs w:val="24"/>
        </w:rPr>
        <w:t>. GODINI</w:t>
      </w:r>
    </w:p>
    <w:p w14:paraId="38FD0A49">
      <w:pPr>
        <w:tabs>
          <w:tab w:val="left" w:pos="1905"/>
        </w:tabs>
        <w:rPr>
          <w:rFonts w:ascii="Verdana" w:hAnsi="Verdana"/>
          <w:b/>
          <w:sz w:val="24"/>
          <w:szCs w:val="24"/>
        </w:rPr>
      </w:pPr>
    </w:p>
    <w:p w14:paraId="3420141E">
      <w:pPr>
        <w:tabs>
          <w:tab w:val="left" w:pos="1905"/>
        </w:tabs>
        <w:rPr>
          <w:rFonts w:ascii="Verdana" w:hAnsi="Verdana"/>
          <w:sz w:val="24"/>
          <w:szCs w:val="24"/>
        </w:rPr>
      </w:pPr>
      <w:r>
        <w:rPr>
          <w:rFonts w:ascii="Verdana" w:hAnsi="Verdana"/>
          <w:sz w:val="24"/>
          <w:szCs w:val="24"/>
        </w:rPr>
        <w:t>Strateški ciljevi TZ Krapanj-Brodarica u 202</w:t>
      </w:r>
      <w:r>
        <w:rPr>
          <w:rFonts w:hint="default" w:ascii="Verdana" w:hAnsi="Verdana"/>
          <w:sz w:val="24"/>
          <w:szCs w:val="24"/>
          <w:lang w:val="hr-HR"/>
        </w:rPr>
        <w:t>6</w:t>
      </w:r>
      <w:r>
        <w:rPr>
          <w:rFonts w:ascii="Verdana" w:hAnsi="Verdana"/>
          <w:sz w:val="24"/>
          <w:szCs w:val="24"/>
        </w:rPr>
        <w:t>.</w:t>
      </w:r>
    </w:p>
    <w:p w14:paraId="3DC29A51">
      <w:pPr>
        <w:pStyle w:val="9"/>
        <w:numPr>
          <w:ilvl w:val="0"/>
          <w:numId w:val="3"/>
        </w:numPr>
        <w:tabs>
          <w:tab w:val="left" w:pos="1905"/>
        </w:tabs>
        <w:rPr>
          <w:rFonts w:ascii="Verdana" w:hAnsi="Verdana"/>
          <w:sz w:val="24"/>
          <w:szCs w:val="24"/>
        </w:rPr>
      </w:pPr>
      <w:r>
        <w:rPr>
          <w:rFonts w:ascii="Verdana" w:hAnsi="Verdana"/>
          <w:sz w:val="24"/>
          <w:szCs w:val="24"/>
        </w:rPr>
        <w:t>Ostvarenje broja  noćenja od sezone 2019.</w:t>
      </w:r>
    </w:p>
    <w:p w14:paraId="6D89C1A7">
      <w:pPr>
        <w:pStyle w:val="9"/>
        <w:numPr>
          <w:ilvl w:val="0"/>
          <w:numId w:val="3"/>
        </w:numPr>
        <w:tabs>
          <w:tab w:val="left" w:pos="1905"/>
        </w:tabs>
        <w:rPr>
          <w:rFonts w:ascii="Verdana" w:hAnsi="Verdana"/>
          <w:sz w:val="24"/>
          <w:szCs w:val="24"/>
        </w:rPr>
      </w:pPr>
      <w:r>
        <w:rPr>
          <w:rFonts w:ascii="Verdana" w:hAnsi="Verdana"/>
          <w:sz w:val="24"/>
          <w:szCs w:val="24"/>
        </w:rPr>
        <w:t>Ulaganje u turističku infrastrukturu same zajednice,kao i uz pomoć Grada Šibenika</w:t>
      </w:r>
    </w:p>
    <w:p w14:paraId="0B09D6D6">
      <w:pPr>
        <w:pStyle w:val="9"/>
        <w:numPr>
          <w:ilvl w:val="0"/>
          <w:numId w:val="3"/>
        </w:numPr>
        <w:tabs>
          <w:tab w:val="left" w:pos="1905"/>
        </w:tabs>
        <w:rPr>
          <w:rFonts w:ascii="Verdana" w:hAnsi="Verdana"/>
          <w:sz w:val="24"/>
          <w:szCs w:val="24"/>
        </w:rPr>
      </w:pPr>
      <w:r>
        <w:rPr>
          <w:rFonts w:ascii="Verdana" w:hAnsi="Verdana"/>
          <w:sz w:val="24"/>
          <w:szCs w:val="24"/>
        </w:rPr>
        <w:t>Poticanje i unapređivanje prirodnih i kulturnih vrijednosti,očuvanje baštine,ekologija i zaštita prirode,edukacija stanovništva te podizanje svijesti zajednice o zajedničkom unapređenju kvalitete usluge i svih dijelova turističke ponude u mjestu</w:t>
      </w:r>
    </w:p>
    <w:p w14:paraId="19349A78">
      <w:pPr>
        <w:pStyle w:val="9"/>
        <w:numPr>
          <w:ilvl w:val="0"/>
          <w:numId w:val="3"/>
        </w:numPr>
        <w:tabs>
          <w:tab w:val="left" w:pos="1905"/>
        </w:tabs>
        <w:rPr>
          <w:rFonts w:ascii="Verdana" w:hAnsi="Verdana"/>
          <w:sz w:val="24"/>
          <w:szCs w:val="24"/>
        </w:rPr>
      </w:pPr>
      <w:r>
        <w:rPr>
          <w:rFonts w:ascii="Verdana" w:hAnsi="Verdana"/>
          <w:sz w:val="24"/>
          <w:szCs w:val="24"/>
        </w:rPr>
        <w:t>Sudjelovanje u projektima</w:t>
      </w:r>
    </w:p>
    <w:p w14:paraId="1E6DD372">
      <w:pPr>
        <w:pStyle w:val="9"/>
        <w:numPr>
          <w:ilvl w:val="0"/>
          <w:numId w:val="3"/>
        </w:numPr>
        <w:tabs>
          <w:tab w:val="left" w:pos="1905"/>
        </w:tabs>
        <w:rPr>
          <w:rFonts w:ascii="Verdana" w:hAnsi="Verdana"/>
          <w:sz w:val="24"/>
          <w:szCs w:val="24"/>
        </w:rPr>
      </w:pPr>
      <w:r>
        <w:rPr>
          <w:rFonts w:ascii="Verdana" w:hAnsi="Verdana"/>
          <w:sz w:val="24"/>
          <w:szCs w:val="24"/>
        </w:rPr>
        <w:t>Poticanje na zajedničku suradnju svih dionika turizma u mjestu (poduzeća,obrta,ugostitelja,udruga u mjestu)</w:t>
      </w:r>
    </w:p>
    <w:p w14:paraId="35E5DCCC">
      <w:pPr>
        <w:tabs>
          <w:tab w:val="left" w:pos="1905"/>
        </w:tabs>
        <w:rPr>
          <w:rFonts w:ascii="Verdana" w:hAnsi="Verdana"/>
          <w:b/>
          <w:sz w:val="24"/>
          <w:szCs w:val="24"/>
        </w:rPr>
      </w:pPr>
    </w:p>
    <w:p w14:paraId="25F23448">
      <w:pPr>
        <w:tabs>
          <w:tab w:val="left" w:pos="1905"/>
        </w:tabs>
        <w:rPr>
          <w:rFonts w:ascii="Verdana" w:hAnsi="Verdana"/>
          <w:b/>
          <w:sz w:val="24"/>
          <w:szCs w:val="24"/>
        </w:rPr>
      </w:pPr>
    </w:p>
    <w:p w14:paraId="60F96F59">
      <w:pPr>
        <w:tabs>
          <w:tab w:val="left" w:pos="1905"/>
        </w:tabs>
        <w:rPr>
          <w:rFonts w:ascii="Verdana" w:hAnsi="Verdana"/>
          <w:b/>
          <w:sz w:val="24"/>
          <w:szCs w:val="24"/>
        </w:rPr>
      </w:pPr>
      <w:r>
        <w:rPr>
          <w:rFonts w:ascii="Verdana" w:hAnsi="Verdana"/>
          <w:b/>
          <w:sz w:val="24"/>
          <w:szCs w:val="24"/>
        </w:rPr>
        <w:t xml:space="preserve">1.ISTRAŽIVANJE I STRATEŠKO PLANIRANJE – </w:t>
      </w:r>
      <w:r>
        <w:rPr>
          <w:rFonts w:hint="default" w:ascii="Verdana" w:hAnsi="Verdana"/>
          <w:b/>
          <w:sz w:val="24"/>
          <w:szCs w:val="24"/>
          <w:lang w:val="hr-HR"/>
        </w:rPr>
        <w:t>0,</w:t>
      </w:r>
      <w:r>
        <w:rPr>
          <w:rFonts w:ascii="Verdana" w:hAnsi="Verdana"/>
          <w:b/>
          <w:sz w:val="24"/>
          <w:szCs w:val="24"/>
        </w:rPr>
        <w:t>00 eura</w:t>
      </w:r>
    </w:p>
    <w:p w14:paraId="3E6CB07C">
      <w:pPr>
        <w:tabs>
          <w:tab w:val="left" w:pos="1905"/>
        </w:tabs>
        <w:rPr>
          <w:rFonts w:ascii="Verdana" w:hAnsi="Verdana"/>
          <w:b/>
          <w:sz w:val="24"/>
          <w:szCs w:val="24"/>
        </w:rPr>
      </w:pPr>
    </w:p>
    <w:p w14:paraId="1824FC87">
      <w:pPr>
        <w:pStyle w:val="9"/>
        <w:numPr>
          <w:ilvl w:val="1"/>
          <w:numId w:val="4"/>
        </w:numPr>
        <w:tabs>
          <w:tab w:val="left" w:pos="1905"/>
        </w:tabs>
        <w:rPr>
          <w:rFonts w:ascii="Verdana" w:hAnsi="Verdana"/>
          <w:sz w:val="24"/>
          <w:szCs w:val="24"/>
        </w:rPr>
      </w:pPr>
      <w:r>
        <w:rPr>
          <w:rFonts w:ascii="Verdana" w:hAnsi="Verdana"/>
          <w:sz w:val="24"/>
          <w:szCs w:val="24"/>
        </w:rPr>
        <w:t>Istraživanje tržišta,analiza i mjerenje učinkovitosti</w:t>
      </w:r>
    </w:p>
    <w:p w14:paraId="015B8034">
      <w:pPr>
        <w:pStyle w:val="9"/>
        <w:tabs>
          <w:tab w:val="left" w:pos="1905"/>
        </w:tabs>
        <w:rPr>
          <w:rFonts w:ascii="Verdana" w:hAnsi="Verdana"/>
          <w:sz w:val="24"/>
          <w:szCs w:val="24"/>
        </w:rPr>
      </w:pPr>
    </w:p>
    <w:p w14:paraId="19D7A5F3">
      <w:pPr>
        <w:tabs>
          <w:tab w:val="left" w:pos="1905"/>
        </w:tabs>
        <w:rPr>
          <w:rFonts w:hint="default" w:ascii="Verdana" w:hAnsi="Verdana"/>
          <w:sz w:val="24"/>
          <w:szCs w:val="24"/>
          <w:lang w:val="hr-HR"/>
        </w:rPr>
      </w:pPr>
      <w:r>
        <w:rPr>
          <w:rFonts w:ascii="Verdana" w:hAnsi="Verdana"/>
          <w:sz w:val="24"/>
          <w:szCs w:val="24"/>
        </w:rPr>
        <w:t>Provođenje redovnih aktivnosti online,analiza tržišta i kretanje trendova u cilju što boljeg obavljanja zadaća zajednice i što boljeg načina promocije i oglašavanja.</w:t>
      </w:r>
    </w:p>
    <w:p w14:paraId="3CB9C2AA">
      <w:pPr>
        <w:tabs>
          <w:tab w:val="left" w:pos="1905"/>
        </w:tabs>
        <w:rPr>
          <w:rFonts w:ascii="Verdana" w:hAnsi="Verdana"/>
          <w:sz w:val="24"/>
          <w:szCs w:val="24"/>
        </w:rPr>
      </w:pPr>
    </w:p>
    <w:p w14:paraId="798AE546">
      <w:pPr>
        <w:tabs>
          <w:tab w:val="left" w:pos="1905"/>
        </w:tabs>
        <w:rPr>
          <w:rFonts w:ascii="Verdana" w:hAnsi="Verdana"/>
          <w:sz w:val="24"/>
          <w:szCs w:val="24"/>
        </w:rPr>
      </w:pPr>
      <w:r>
        <w:rPr>
          <w:rFonts w:ascii="Verdana" w:hAnsi="Verdana"/>
          <w:sz w:val="24"/>
          <w:szCs w:val="24"/>
        </w:rPr>
        <w:t>Nositelj: TZ Krapanj-Brodarica</w:t>
      </w:r>
    </w:p>
    <w:p w14:paraId="614B033F">
      <w:pPr>
        <w:tabs>
          <w:tab w:val="left" w:pos="1905"/>
        </w:tabs>
        <w:rPr>
          <w:rFonts w:hint="default" w:ascii="Verdana" w:hAnsi="Verdana"/>
          <w:sz w:val="24"/>
          <w:szCs w:val="24"/>
          <w:lang w:val="hr-HR"/>
        </w:rPr>
      </w:pPr>
      <w:r>
        <w:rPr>
          <w:rFonts w:ascii="Verdana" w:hAnsi="Verdana"/>
          <w:sz w:val="24"/>
          <w:szCs w:val="24"/>
        </w:rPr>
        <w:t xml:space="preserve">Iznos: </w:t>
      </w:r>
      <w:r>
        <w:rPr>
          <w:rFonts w:hint="default" w:ascii="Verdana" w:hAnsi="Verdana"/>
          <w:sz w:val="24"/>
          <w:szCs w:val="24"/>
          <w:lang w:val="hr-HR"/>
        </w:rPr>
        <w:t>0,00 eura</w:t>
      </w:r>
    </w:p>
    <w:p w14:paraId="5CBC7B93">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 godine</w:t>
      </w:r>
    </w:p>
    <w:p w14:paraId="5DAB9658">
      <w:pPr>
        <w:tabs>
          <w:tab w:val="left" w:pos="1905"/>
        </w:tabs>
        <w:rPr>
          <w:rFonts w:ascii="Verdana" w:hAnsi="Verdana"/>
          <w:sz w:val="24"/>
          <w:szCs w:val="24"/>
        </w:rPr>
      </w:pPr>
    </w:p>
    <w:p w14:paraId="5C6CB2D2">
      <w:pPr>
        <w:tabs>
          <w:tab w:val="left" w:pos="1905"/>
        </w:tabs>
        <w:rPr>
          <w:rFonts w:ascii="Verdana" w:hAnsi="Verdana"/>
          <w:sz w:val="24"/>
          <w:szCs w:val="24"/>
        </w:rPr>
      </w:pPr>
    </w:p>
    <w:p w14:paraId="4B075449">
      <w:pPr>
        <w:tabs>
          <w:tab w:val="left" w:pos="1905"/>
        </w:tabs>
        <w:rPr>
          <w:rFonts w:ascii="Verdana" w:hAnsi="Verdana"/>
          <w:sz w:val="24"/>
          <w:szCs w:val="24"/>
        </w:rPr>
      </w:pPr>
    </w:p>
    <w:p w14:paraId="33FD4DA0">
      <w:pPr>
        <w:tabs>
          <w:tab w:val="left" w:pos="1905"/>
        </w:tabs>
        <w:rPr>
          <w:rFonts w:ascii="Verdana" w:hAnsi="Verdana"/>
          <w:sz w:val="24"/>
          <w:szCs w:val="24"/>
        </w:rPr>
      </w:pPr>
    </w:p>
    <w:p w14:paraId="2463E062">
      <w:pPr>
        <w:tabs>
          <w:tab w:val="left" w:pos="1905"/>
        </w:tabs>
        <w:rPr>
          <w:rFonts w:ascii="Verdana" w:hAnsi="Verdana"/>
          <w:sz w:val="24"/>
          <w:szCs w:val="24"/>
        </w:rPr>
      </w:pPr>
    </w:p>
    <w:p w14:paraId="5F9EEEA4">
      <w:pPr>
        <w:tabs>
          <w:tab w:val="left" w:pos="1905"/>
        </w:tabs>
        <w:rPr>
          <w:rFonts w:ascii="Verdana" w:hAnsi="Verdana"/>
          <w:sz w:val="24"/>
          <w:szCs w:val="24"/>
        </w:rPr>
      </w:pPr>
    </w:p>
    <w:p w14:paraId="7A1FCB0A">
      <w:pPr>
        <w:tabs>
          <w:tab w:val="left" w:pos="1905"/>
        </w:tabs>
        <w:rPr>
          <w:rFonts w:ascii="Verdana" w:hAnsi="Verdana"/>
          <w:sz w:val="24"/>
          <w:szCs w:val="24"/>
        </w:rPr>
      </w:pPr>
    </w:p>
    <w:p w14:paraId="2EEED680">
      <w:pPr>
        <w:tabs>
          <w:tab w:val="left" w:pos="1905"/>
        </w:tabs>
        <w:rPr>
          <w:rFonts w:ascii="Verdana" w:hAnsi="Verdana"/>
          <w:sz w:val="24"/>
          <w:szCs w:val="24"/>
        </w:rPr>
      </w:pPr>
    </w:p>
    <w:p w14:paraId="40C4EB04">
      <w:pPr>
        <w:pStyle w:val="9"/>
        <w:numPr>
          <w:ilvl w:val="0"/>
          <w:numId w:val="4"/>
        </w:numPr>
        <w:tabs>
          <w:tab w:val="left" w:pos="1905"/>
        </w:tabs>
        <w:rPr>
          <w:rFonts w:ascii="Verdana" w:hAnsi="Verdana"/>
          <w:b/>
          <w:sz w:val="24"/>
          <w:szCs w:val="24"/>
        </w:rPr>
      </w:pPr>
      <w:r>
        <w:rPr>
          <w:rFonts w:ascii="Verdana" w:hAnsi="Verdana"/>
          <w:b/>
          <w:sz w:val="24"/>
          <w:szCs w:val="24"/>
        </w:rPr>
        <w:t xml:space="preserve">RAZVOJ TURISTIČKOG PROIZVODA – </w:t>
      </w:r>
      <w:r>
        <w:rPr>
          <w:rFonts w:hint="default" w:ascii="Verdana" w:hAnsi="Verdana"/>
          <w:b/>
          <w:sz w:val="24"/>
          <w:szCs w:val="24"/>
          <w:lang w:val="hr-HR"/>
        </w:rPr>
        <w:t>49</w:t>
      </w:r>
      <w:r>
        <w:rPr>
          <w:rFonts w:ascii="Verdana" w:hAnsi="Verdana"/>
          <w:b/>
          <w:sz w:val="24"/>
          <w:szCs w:val="24"/>
        </w:rPr>
        <w:t>.</w:t>
      </w:r>
      <w:r>
        <w:rPr>
          <w:rFonts w:hint="default" w:ascii="Verdana" w:hAnsi="Verdana"/>
          <w:b/>
          <w:sz w:val="24"/>
          <w:szCs w:val="24"/>
          <w:lang w:val="hr-HR"/>
        </w:rPr>
        <w:t>5</w:t>
      </w:r>
      <w:r>
        <w:rPr>
          <w:rFonts w:ascii="Verdana" w:hAnsi="Verdana"/>
          <w:b/>
          <w:sz w:val="24"/>
          <w:szCs w:val="24"/>
        </w:rPr>
        <w:t>00,00 eura</w:t>
      </w:r>
    </w:p>
    <w:p w14:paraId="1E5B8000">
      <w:pPr>
        <w:pStyle w:val="9"/>
        <w:tabs>
          <w:tab w:val="left" w:pos="1905"/>
        </w:tabs>
        <w:ind w:left="495"/>
        <w:rPr>
          <w:rFonts w:ascii="Verdana" w:hAnsi="Verdana"/>
          <w:b/>
          <w:sz w:val="24"/>
          <w:szCs w:val="24"/>
        </w:rPr>
      </w:pPr>
    </w:p>
    <w:p w14:paraId="53ADACDE">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2.1. Identifikacija i vrednovanje resursa te strukturiranje turističkih proizvoda</w:t>
      </w:r>
    </w:p>
    <w:p w14:paraId="18CB4C4E">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U 20</w:t>
      </w:r>
      <w:r>
        <w:rPr>
          <w:rFonts w:hint="default" w:ascii="Verdana" w:hAnsi="Verdana"/>
          <w:color w:val="000000" w:themeColor="text1"/>
          <w:sz w:val="24"/>
          <w:szCs w:val="24"/>
          <w:lang w:val="hr-HR"/>
          <w14:textFill>
            <w14:solidFill>
              <w14:schemeClr w14:val="tx1"/>
            </w14:solidFill>
          </w14:textFill>
        </w:rPr>
        <w:t>26</w:t>
      </w:r>
      <w:r>
        <w:rPr>
          <w:rFonts w:ascii="Verdana" w:hAnsi="Verdana"/>
          <w:color w:val="000000" w:themeColor="text1"/>
          <w:sz w:val="24"/>
          <w:szCs w:val="24"/>
          <w14:textFill>
            <w14:solidFill>
              <w14:schemeClr w14:val="tx1"/>
            </w14:solidFill>
          </w14:textFill>
        </w:rPr>
        <w:t>. Godini nastojati ćemo s lokalnom turističkom agencijom i ostalim dionicima raditi na programima za grupne posjete kako bi na što bolji način prezentirali mjesto i ono po čemu smo poznati</w:t>
      </w:r>
    </w:p>
    <w:p w14:paraId="67D4852C">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Nositelj: TZ Krapanj-Brodarica</w:t>
      </w:r>
    </w:p>
    <w:p w14:paraId="40920AE4">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Iznos: 0,00 kn</w:t>
      </w:r>
    </w:p>
    <w:p w14:paraId="53851516">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Rok tijekom cijele 202</w:t>
      </w:r>
      <w:r>
        <w:rPr>
          <w:rFonts w:hint="default" w:ascii="Verdana" w:hAnsi="Verdana"/>
          <w:color w:val="000000" w:themeColor="text1"/>
          <w:sz w:val="24"/>
          <w:szCs w:val="24"/>
          <w:lang w:val="hr-HR"/>
          <w14:textFill>
            <w14:solidFill>
              <w14:schemeClr w14:val="tx1"/>
            </w14:solidFill>
          </w14:textFill>
        </w:rPr>
        <w:t>6</w:t>
      </w:r>
      <w:r>
        <w:rPr>
          <w:rFonts w:ascii="Verdana" w:hAnsi="Verdana"/>
          <w:color w:val="000000" w:themeColor="text1"/>
          <w:sz w:val="24"/>
          <w:szCs w:val="24"/>
          <w14:textFill>
            <w14:solidFill>
              <w14:schemeClr w14:val="tx1"/>
            </w14:solidFill>
          </w14:textFill>
        </w:rPr>
        <w:t>. godine</w:t>
      </w:r>
    </w:p>
    <w:p w14:paraId="42AC4E0E">
      <w:pPr>
        <w:tabs>
          <w:tab w:val="left" w:pos="1905"/>
        </w:tabs>
        <w:rPr>
          <w:rFonts w:ascii="Verdana" w:hAnsi="Verdana"/>
          <w:sz w:val="24"/>
          <w:szCs w:val="24"/>
        </w:rPr>
      </w:pPr>
    </w:p>
    <w:p w14:paraId="6F529ECC">
      <w:pPr>
        <w:tabs>
          <w:tab w:val="left" w:pos="1905"/>
        </w:tabs>
        <w:rPr>
          <w:rFonts w:ascii="Verdana" w:hAnsi="Verdana"/>
          <w:sz w:val="24"/>
          <w:szCs w:val="24"/>
        </w:rPr>
      </w:pPr>
    </w:p>
    <w:p w14:paraId="1AE9EEC5">
      <w:pPr>
        <w:tabs>
          <w:tab w:val="left" w:pos="1905"/>
        </w:tabs>
        <w:rPr>
          <w:rFonts w:ascii="Verdana" w:hAnsi="Verdana"/>
          <w:sz w:val="24"/>
          <w:szCs w:val="24"/>
        </w:rPr>
      </w:pPr>
      <w:r>
        <w:rPr>
          <w:rFonts w:ascii="Verdana" w:hAnsi="Verdana"/>
          <w:sz w:val="24"/>
          <w:szCs w:val="24"/>
        </w:rPr>
        <w:t>2.2. Sustav označavanja kvalitete turističkog proizvoda</w:t>
      </w:r>
    </w:p>
    <w:p w14:paraId="608E6263">
      <w:pPr>
        <w:tabs>
          <w:tab w:val="left" w:pos="1905"/>
        </w:tabs>
        <w:rPr>
          <w:rFonts w:ascii="Verdana" w:hAnsi="Verdana"/>
          <w:sz w:val="24"/>
          <w:szCs w:val="24"/>
        </w:rPr>
      </w:pPr>
    </w:p>
    <w:p w14:paraId="42468593">
      <w:pPr>
        <w:tabs>
          <w:tab w:val="left" w:pos="1905"/>
        </w:tabs>
        <w:rPr>
          <w:rFonts w:ascii="Verdana" w:hAnsi="Verdana"/>
          <w:sz w:val="24"/>
          <w:szCs w:val="24"/>
        </w:rPr>
      </w:pPr>
      <w:r>
        <w:rPr>
          <w:rFonts w:ascii="Verdana" w:hAnsi="Verdana"/>
          <w:sz w:val="24"/>
          <w:szCs w:val="24"/>
        </w:rPr>
        <w:t>TZ Krapanj-Brodarica će kao i dosada sudjelovati u provođenju aktivnosti u suradnji s regionalnom TZ na projektima kao Like home,Eno gastro,Bike and hike i slično.</w:t>
      </w:r>
    </w:p>
    <w:p w14:paraId="171A1DD3">
      <w:pPr>
        <w:tabs>
          <w:tab w:val="left" w:pos="1905"/>
        </w:tabs>
        <w:rPr>
          <w:rFonts w:ascii="Verdana" w:hAnsi="Verdana"/>
          <w:sz w:val="24"/>
          <w:szCs w:val="24"/>
        </w:rPr>
      </w:pPr>
      <w:r>
        <w:rPr>
          <w:rFonts w:ascii="Verdana" w:hAnsi="Verdana"/>
          <w:sz w:val="24"/>
          <w:szCs w:val="24"/>
        </w:rPr>
        <w:t>Cilj ovakvih aktivnosti je da turisti prepoznaju destinaciju i njene dionike kao kvalitetne te motivacija pružatelja usluga da poboljšaju svoju ponudu,da se educiraju i da prate trendove u turizmu. Što se tiče gastro projekta,to omogućava dionicima turizma u mjestu kao što su ugostitelji da brendiraju svoju ponudu,da budu istaknuti,da im se omogući reklama te ih motivirati za daljnji rad i trud.</w:t>
      </w:r>
    </w:p>
    <w:p w14:paraId="3229E287">
      <w:pPr>
        <w:tabs>
          <w:tab w:val="left" w:pos="1905"/>
        </w:tabs>
        <w:rPr>
          <w:rFonts w:ascii="Verdana" w:hAnsi="Verdana"/>
          <w:sz w:val="24"/>
          <w:szCs w:val="24"/>
        </w:rPr>
      </w:pPr>
      <w:r>
        <w:rPr>
          <w:rFonts w:ascii="Verdana" w:hAnsi="Verdana"/>
          <w:sz w:val="24"/>
          <w:szCs w:val="24"/>
        </w:rPr>
        <w:t>Nositelj: TZ Krapanj-Brodarica i Regionalna TZŽ Šibensko-kninske</w:t>
      </w:r>
    </w:p>
    <w:p w14:paraId="709489C5">
      <w:pPr>
        <w:tabs>
          <w:tab w:val="left" w:pos="1905"/>
        </w:tabs>
        <w:rPr>
          <w:rFonts w:ascii="Verdana" w:hAnsi="Verdana"/>
          <w:sz w:val="24"/>
          <w:szCs w:val="24"/>
        </w:rPr>
      </w:pPr>
      <w:r>
        <w:rPr>
          <w:rFonts w:ascii="Verdana" w:hAnsi="Verdana"/>
          <w:sz w:val="24"/>
          <w:szCs w:val="24"/>
        </w:rPr>
        <w:t>Iznos: 500,00 eura</w:t>
      </w:r>
    </w:p>
    <w:p w14:paraId="38A59621">
      <w:pPr>
        <w:tabs>
          <w:tab w:val="left" w:pos="1905"/>
        </w:tabs>
        <w:rPr>
          <w:rFonts w:ascii="Verdana" w:hAnsi="Verdana"/>
          <w:sz w:val="24"/>
          <w:szCs w:val="24"/>
        </w:rPr>
      </w:pPr>
      <w:r>
        <w:rPr>
          <w:rFonts w:ascii="Verdana" w:hAnsi="Verdana"/>
          <w:sz w:val="24"/>
          <w:szCs w:val="24"/>
        </w:rPr>
        <w:t>Rok: travanj-listopad 202</w:t>
      </w:r>
      <w:r>
        <w:rPr>
          <w:rFonts w:hint="default" w:ascii="Verdana" w:hAnsi="Verdana"/>
          <w:sz w:val="24"/>
          <w:szCs w:val="24"/>
          <w:lang w:val="hr-HR"/>
        </w:rPr>
        <w:t>6</w:t>
      </w:r>
      <w:r>
        <w:rPr>
          <w:rFonts w:ascii="Verdana" w:hAnsi="Verdana"/>
          <w:sz w:val="24"/>
          <w:szCs w:val="24"/>
        </w:rPr>
        <w:t>.</w:t>
      </w:r>
    </w:p>
    <w:p w14:paraId="5EC638CE">
      <w:pPr>
        <w:tabs>
          <w:tab w:val="left" w:pos="1905"/>
        </w:tabs>
        <w:rPr>
          <w:rFonts w:ascii="Verdana" w:hAnsi="Verdana"/>
          <w:sz w:val="24"/>
          <w:szCs w:val="24"/>
        </w:rPr>
      </w:pPr>
    </w:p>
    <w:p w14:paraId="249DBC10">
      <w:pPr>
        <w:tabs>
          <w:tab w:val="left" w:pos="1905"/>
        </w:tabs>
        <w:rPr>
          <w:rFonts w:ascii="Verdana" w:hAnsi="Verdana"/>
          <w:sz w:val="24"/>
          <w:szCs w:val="24"/>
        </w:rPr>
      </w:pPr>
    </w:p>
    <w:p w14:paraId="3A076038">
      <w:pPr>
        <w:tabs>
          <w:tab w:val="left" w:pos="1905"/>
        </w:tabs>
        <w:rPr>
          <w:rFonts w:ascii="Verdana" w:hAnsi="Verdana"/>
          <w:sz w:val="24"/>
          <w:szCs w:val="24"/>
        </w:rPr>
      </w:pPr>
    </w:p>
    <w:p w14:paraId="0E629C8E">
      <w:pPr>
        <w:tabs>
          <w:tab w:val="left" w:pos="1905"/>
        </w:tabs>
        <w:rPr>
          <w:rFonts w:ascii="Verdana" w:hAnsi="Verdana"/>
          <w:sz w:val="24"/>
          <w:szCs w:val="24"/>
        </w:rPr>
      </w:pPr>
    </w:p>
    <w:p w14:paraId="073335D0">
      <w:pPr>
        <w:tabs>
          <w:tab w:val="left" w:pos="1905"/>
        </w:tabs>
        <w:rPr>
          <w:rFonts w:ascii="Verdana" w:hAnsi="Verdana"/>
          <w:sz w:val="24"/>
          <w:szCs w:val="24"/>
        </w:rPr>
      </w:pPr>
    </w:p>
    <w:p w14:paraId="3E37A1EC">
      <w:pPr>
        <w:tabs>
          <w:tab w:val="left" w:pos="1905"/>
        </w:tabs>
        <w:rPr>
          <w:rFonts w:ascii="Verdana" w:hAnsi="Verdana"/>
          <w:sz w:val="24"/>
          <w:szCs w:val="24"/>
        </w:rPr>
      </w:pPr>
    </w:p>
    <w:p w14:paraId="3621EF85">
      <w:pPr>
        <w:tabs>
          <w:tab w:val="left" w:pos="1905"/>
        </w:tabs>
        <w:rPr>
          <w:rFonts w:ascii="Verdana" w:hAnsi="Verdana"/>
          <w:sz w:val="24"/>
          <w:szCs w:val="24"/>
        </w:rPr>
      </w:pPr>
    </w:p>
    <w:p w14:paraId="1935EB8C">
      <w:pPr>
        <w:tabs>
          <w:tab w:val="left" w:pos="1905"/>
        </w:tabs>
        <w:rPr>
          <w:rFonts w:ascii="Verdana" w:hAnsi="Verdana"/>
          <w:color w:val="000000" w:themeColor="text1"/>
          <w:sz w:val="24"/>
          <w:szCs w:val="24"/>
          <w14:textFill>
            <w14:solidFill>
              <w14:schemeClr w14:val="tx1"/>
            </w14:solidFill>
          </w14:textFill>
        </w:rPr>
      </w:pPr>
      <w:r>
        <w:rPr>
          <w:rFonts w:ascii="Verdana" w:hAnsi="Verdana"/>
          <w:color w:val="000000" w:themeColor="text1"/>
          <w:sz w:val="24"/>
          <w:szCs w:val="24"/>
          <w14:textFill>
            <w14:solidFill>
              <w14:schemeClr w14:val="tx1"/>
            </w14:solidFill>
          </w14:textFill>
        </w:rPr>
        <w:t>2.3.  Podrška razvoju turističkih događanja</w:t>
      </w:r>
    </w:p>
    <w:p w14:paraId="7ED5B2AD">
      <w:pPr>
        <w:tabs>
          <w:tab w:val="left" w:pos="1905"/>
        </w:tabs>
        <w:rPr>
          <w:rFonts w:ascii="Verdana" w:hAnsi="Verdana"/>
          <w:sz w:val="24"/>
          <w:szCs w:val="24"/>
        </w:rPr>
      </w:pPr>
    </w:p>
    <w:p w14:paraId="54BA9BEE">
      <w:pPr>
        <w:tabs>
          <w:tab w:val="left" w:pos="1905"/>
        </w:tabs>
        <w:rPr>
          <w:rFonts w:ascii="Verdana" w:hAnsi="Verdana"/>
          <w:sz w:val="24"/>
          <w:szCs w:val="24"/>
        </w:rPr>
      </w:pPr>
      <w:r>
        <w:rPr>
          <w:rFonts w:ascii="Verdana" w:hAnsi="Verdana"/>
          <w:sz w:val="24"/>
          <w:szCs w:val="24"/>
        </w:rPr>
        <w:t>2.3.1. Kulturno-zabavne,sportske i tradicijske  manifestacije</w:t>
      </w:r>
    </w:p>
    <w:p w14:paraId="36AFDFEF">
      <w:pPr>
        <w:tabs>
          <w:tab w:val="left" w:pos="1905"/>
        </w:tabs>
        <w:rPr>
          <w:rFonts w:ascii="Verdana" w:hAnsi="Verdana"/>
          <w:sz w:val="24"/>
          <w:szCs w:val="24"/>
        </w:rPr>
      </w:pPr>
    </w:p>
    <w:p w14:paraId="773B9A31">
      <w:pPr>
        <w:tabs>
          <w:tab w:val="left" w:pos="1905"/>
        </w:tabs>
        <w:rPr>
          <w:rFonts w:ascii="Verdana" w:hAnsi="Verdana"/>
          <w:sz w:val="24"/>
          <w:szCs w:val="24"/>
        </w:rPr>
      </w:pPr>
      <w:r>
        <w:rPr>
          <w:rFonts w:ascii="Verdana" w:hAnsi="Verdana"/>
          <w:sz w:val="24"/>
          <w:szCs w:val="24"/>
        </w:rPr>
        <w:t>2.3.1.1. Ribarska večer</w:t>
      </w:r>
    </w:p>
    <w:p w14:paraId="2D0EFD2E">
      <w:pPr>
        <w:tabs>
          <w:tab w:val="left" w:pos="1905"/>
        </w:tabs>
        <w:rPr>
          <w:rFonts w:hint="default" w:ascii="Verdana" w:hAnsi="Verdana"/>
          <w:sz w:val="24"/>
          <w:szCs w:val="24"/>
          <w:lang w:val="hr-HR"/>
        </w:rPr>
      </w:pPr>
      <w:r>
        <w:rPr>
          <w:rFonts w:ascii="Verdana" w:hAnsi="Verdana"/>
          <w:sz w:val="24"/>
          <w:szCs w:val="24"/>
        </w:rPr>
        <w:t>Ribarska večer je tradicionalna manifestacija koja se održava svake godine. Na neki način predstavlja tradiciju mjesta jer se u sklopu fešte spremaju riblje delicije,</w:t>
      </w:r>
      <w:r>
        <w:rPr>
          <w:rFonts w:hint="default" w:ascii="Verdana" w:hAnsi="Verdana"/>
          <w:sz w:val="24"/>
          <w:szCs w:val="24"/>
          <w:lang w:val="hr-HR"/>
        </w:rPr>
        <w:t>sportska natjecanja te plivanje Krapanj-Brodarica</w:t>
      </w:r>
      <w:r>
        <w:rPr>
          <w:rFonts w:ascii="Verdana" w:hAnsi="Verdana"/>
          <w:sz w:val="24"/>
          <w:szCs w:val="24"/>
        </w:rPr>
        <w:t>. Održava se u srpn</w:t>
      </w:r>
      <w:r>
        <w:rPr>
          <w:rFonts w:hint="default" w:ascii="Verdana" w:hAnsi="Verdana"/>
          <w:sz w:val="24"/>
          <w:szCs w:val="24"/>
          <w:lang w:val="hr-HR"/>
        </w:rPr>
        <w:t>ju.</w:t>
      </w:r>
    </w:p>
    <w:p w14:paraId="4859E762">
      <w:pPr>
        <w:tabs>
          <w:tab w:val="left" w:pos="1905"/>
        </w:tabs>
        <w:rPr>
          <w:rFonts w:ascii="Verdana" w:hAnsi="Verdana"/>
          <w:sz w:val="24"/>
          <w:szCs w:val="24"/>
        </w:rPr>
      </w:pPr>
      <w:r>
        <w:rPr>
          <w:rFonts w:ascii="Verdana" w:hAnsi="Verdana"/>
          <w:sz w:val="24"/>
          <w:szCs w:val="24"/>
        </w:rPr>
        <w:t>Cilj aktivnosti je ponuda za turiste koji borave u mjestu,predstavljanje tradicije i zabava.</w:t>
      </w:r>
    </w:p>
    <w:p w14:paraId="4D8928B1">
      <w:pPr>
        <w:tabs>
          <w:tab w:val="left" w:pos="1905"/>
        </w:tabs>
        <w:rPr>
          <w:rFonts w:ascii="Verdana" w:hAnsi="Verdana"/>
          <w:sz w:val="24"/>
          <w:szCs w:val="24"/>
        </w:rPr>
      </w:pPr>
      <w:r>
        <w:rPr>
          <w:rFonts w:ascii="Verdana" w:hAnsi="Verdana"/>
          <w:sz w:val="24"/>
          <w:szCs w:val="24"/>
        </w:rPr>
        <w:t>Iznos: 6.000,00 eura</w:t>
      </w:r>
    </w:p>
    <w:p w14:paraId="0CCE8E33">
      <w:pPr>
        <w:tabs>
          <w:tab w:val="left" w:pos="1905"/>
        </w:tabs>
        <w:rPr>
          <w:rFonts w:ascii="Verdana" w:hAnsi="Verdana"/>
          <w:sz w:val="24"/>
          <w:szCs w:val="24"/>
        </w:rPr>
      </w:pPr>
      <w:r>
        <w:rPr>
          <w:rFonts w:ascii="Verdana" w:hAnsi="Verdana"/>
          <w:sz w:val="24"/>
          <w:szCs w:val="24"/>
        </w:rPr>
        <w:t>Nositelj: TZ Krapanj-Brodarica</w:t>
      </w:r>
    </w:p>
    <w:p w14:paraId="3F4933E1">
      <w:pPr>
        <w:tabs>
          <w:tab w:val="left" w:pos="1905"/>
        </w:tabs>
        <w:rPr>
          <w:rFonts w:hint="default" w:ascii="Verdana" w:hAnsi="Verdana"/>
          <w:sz w:val="24"/>
          <w:szCs w:val="24"/>
          <w:lang w:val="hr-HR"/>
        </w:rPr>
      </w:pPr>
      <w:r>
        <w:rPr>
          <w:rFonts w:ascii="Verdana" w:hAnsi="Verdana"/>
          <w:sz w:val="24"/>
          <w:szCs w:val="24"/>
        </w:rPr>
        <w:t>Rok: srpanj</w:t>
      </w:r>
      <w:r>
        <w:rPr>
          <w:rFonts w:hint="default" w:ascii="Verdana" w:hAnsi="Verdana"/>
          <w:sz w:val="24"/>
          <w:szCs w:val="24"/>
          <w:lang w:val="hr-HR"/>
        </w:rPr>
        <w:t xml:space="preserve"> 2026.</w:t>
      </w:r>
    </w:p>
    <w:p w14:paraId="03173027">
      <w:pPr>
        <w:tabs>
          <w:tab w:val="left" w:pos="1905"/>
        </w:tabs>
        <w:rPr>
          <w:rFonts w:ascii="Verdana" w:hAnsi="Verdana"/>
          <w:sz w:val="24"/>
          <w:szCs w:val="24"/>
        </w:rPr>
      </w:pPr>
    </w:p>
    <w:p w14:paraId="3971DC93">
      <w:pPr>
        <w:tabs>
          <w:tab w:val="left" w:pos="1905"/>
        </w:tabs>
        <w:rPr>
          <w:rFonts w:ascii="Verdana" w:hAnsi="Verdana"/>
          <w:sz w:val="24"/>
          <w:szCs w:val="24"/>
        </w:rPr>
      </w:pPr>
    </w:p>
    <w:p w14:paraId="593EC728">
      <w:pPr>
        <w:tabs>
          <w:tab w:val="left" w:pos="1905"/>
        </w:tabs>
        <w:rPr>
          <w:rFonts w:hint="default" w:ascii="Verdana" w:hAnsi="Verdana"/>
          <w:sz w:val="24"/>
          <w:szCs w:val="24"/>
          <w:lang w:val="hr-HR"/>
        </w:rPr>
      </w:pPr>
      <w:r>
        <w:rPr>
          <w:rFonts w:ascii="Verdana" w:hAnsi="Verdana"/>
          <w:sz w:val="24"/>
          <w:szCs w:val="24"/>
        </w:rPr>
        <w:t xml:space="preserve">2.3.1.2. </w:t>
      </w:r>
      <w:r>
        <w:rPr>
          <w:rFonts w:hint="default" w:ascii="Verdana" w:hAnsi="Verdana"/>
          <w:sz w:val="24"/>
          <w:szCs w:val="24"/>
          <w:lang w:val="hr-HR"/>
        </w:rPr>
        <w:t>Uskršnji doručak-otok Krapanj</w:t>
      </w:r>
    </w:p>
    <w:p w14:paraId="70548D97">
      <w:pPr>
        <w:tabs>
          <w:tab w:val="left" w:pos="1905"/>
        </w:tabs>
        <w:rPr>
          <w:rFonts w:hint="default" w:ascii="Verdana" w:hAnsi="Verdana"/>
          <w:sz w:val="24"/>
          <w:szCs w:val="24"/>
          <w:lang w:val="hr-HR"/>
        </w:rPr>
      </w:pPr>
      <w:r>
        <w:rPr>
          <w:rFonts w:ascii="Verdana" w:hAnsi="Verdana"/>
          <w:sz w:val="24"/>
          <w:szCs w:val="24"/>
        </w:rPr>
        <w:t>Ovo je  manifestacija</w:t>
      </w:r>
      <w:r>
        <w:rPr>
          <w:rFonts w:hint="default" w:ascii="Verdana" w:hAnsi="Verdana"/>
          <w:sz w:val="24"/>
          <w:szCs w:val="24"/>
          <w:lang w:val="hr-HR"/>
        </w:rPr>
        <w:t xml:space="preserve"> od prošle godine</w:t>
      </w:r>
      <w:r>
        <w:rPr>
          <w:rFonts w:ascii="Verdana" w:hAnsi="Verdana"/>
          <w:sz w:val="24"/>
          <w:szCs w:val="24"/>
        </w:rPr>
        <w:t xml:space="preserve"> ko</w:t>
      </w:r>
      <w:r>
        <w:rPr>
          <w:rFonts w:hint="default" w:ascii="Verdana" w:hAnsi="Verdana"/>
          <w:sz w:val="24"/>
          <w:szCs w:val="24"/>
          <w:lang w:val="hr-HR"/>
        </w:rPr>
        <w:t>ju održavamo na otoku Krapnju u klaustru samostana na Uskrsni ponedjeljak.Uz tradicionalnu misu želimo obilježiti to na otoku kako bi i van sezone bilo događanja i na neki način otvorili sezonu.Uključena je gastronomija našeg kraja,kao i folklor i klapska pjesma.</w:t>
      </w:r>
    </w:p>
    <w:p w14:paraId="3B943A67">
      <w:pPr>
        <w:tabs>
          <w:tab w:val="left" w:pos="1905"/>
        </w:tabs>
        <w:rPr>
          <w:rFonts w:ascii="Verdana" w:hAnsi="Verdana"/>
          <w:sz w:val="24"/>
          <w:szCs w:val="24"/>
        </w:rPr>
      </w:pPr>
      <w:r>
        <w:rPr>
          <w:rFonts w:ascii="Verdana" w:hAnsi="Verdana"/>
          <w:sz w:val="24"/>
          <w:szCs w:val="24"/>
        </w:rPr>
        <w:t>Nositelj: TZ Krapanj-Brodarica ,ugostitelji,udruge i volonteri</w:t>
      </w:r>
    </w:p>
    <w:p w14:paraId="7429D7F3">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4</w:t>
      </w:r>
      <w:r>
        <w:rPr>
          <w:rFonts w:ascii="Verdana" w:hAnsi="Verdana"/>
          <w:sz w:val="24"/>
          <w:szCs w:val="24"/>
        </w:rPr>
        <w:t>.000,00 eura</w:t>
      </w:r>
    </w:p>
    <w:p w14:paraId="3385D491">
      <w:pPr>
        <w:tabs>
          <w:tab w:val="left" w:pos="1905"/>
        </w:tabs>
        <w:rPr>
          <w:rFonts w:ascii="Verdana" w:hAnsi="Verdana"/>
          <w:sz w:val="24"/>
          <w:szCs w:val="24"/>
        </w:rPr>
      </w:pPr>
      <w:r>
        <w:rPr>
          <w:rFonts w:ascii="Verdana" w:hAnsi="Verdana"/>
          <w:sz w:val="24"/>
          <w:szCs w:val="24"/>
        </w:rPr>
        <w:t xml:space="preserve">Rok: </w:t>
      </w:r>
      <w:r>
        <w:rPr>
          <w:rFonts w:hint="default" w:ascii="Verdana" w:hAnsi="Verdana"/>
          <w:sz w:val="24"/>
          <w:szCs w:val="24"/>
          <w:lang w:val="hr-HR"/>
        </w:rPr>
        <w:t>travanj</w:t>
      </w:r>
      <w:r>
        <w:rPr>
          <w:rFonts w:ascii="Verdana" w:hAnsi="Verdana"/>
          <w:sz w:val="24"/>
          <w:szCs w:val="24"/>
        </w:rPr>
        <w:t xml:space="preserve"> 202</w:t>
      </w:r>
      <w:r>
        <w:rPr>
          <w:rFonts w:hint="default" w:ascii="Verdana" w:hAnsi="Verdana"/>
          <w:sz w:val="24"/>
          <w:szCs w:val="24"/>
          <w:lang w:val="hr-HR"/>
        </w:rPr>
        <w:t>6</w:t>
      </w:r>
      <w:r>
        <w:rPr>
          <w:rFonts w:ascii="Verdana" w:hAnsi="Verdana"/>
          <w:sz w:val="24"/>
          <w:szCs w:val="24"/>
        </w:rPr>
        <w:t>.</w:t>
      </w:r>
    </w:p>
    <w:p w14:paraId="068A5AA9">
      <w:pPr>
        <w:tabs>
          <w:tab w:val="left" w:pos="1905"/>
        </w:tabs>
        <w:rPr>
          <w:rFonts w:ascii="Verdana" w:hAnsi="Verdana"/>
          <w:sz w:val="24"/>
          <w:szCs w:val="24"/>
        </w:rPr>
      </w:pPr>
    </w:p>
    <w:p w14:paraId="5918A895">
      <w:pPr>
        <w:tabs>
          <w:tab w:val="left" w:pos="1905"/>
        </w:tabs>
        <w:rPr>
          <w:rFonts w:ascii="Verdana" w:hAnsi="Verdana"/>
          <w:sz w:val="24"/>
          <w:szCs w:val="24"/>
        </w:rPr>
      </w:pPr>
      <w:r>
        <w:rPr>
          <w:rFonts w:ascii="Verdana" w:hAnsi="Verdana"/>
          <w:sz w:val="24"/>
          <w:szCs w:val="24"/>
        </w:rPr>
        <w:t>2.3.1.3. Regata gajeta Krapanjsko idro</w:t>
      </w:r>
    </w:p>
    <w:p w14:paraId="4434DC40">
      <w:pPr>
        <w:tabs>
          <w:tab w:val="left" w:pos="1905"/>
        </w:tabs>
        <w:rPr>
          <w:rFonts w:ascii="Verdana" w:hAnsi="Verdana"/>
          <w:sz w:val="24"/>
          <w:szCs w:val="24"/>
        </w:rPr>
      </w:pPr>
      <w:r>
        <w:rPr>
          <w:rFonts w:ascii="Verdana" w:hAnsi="Verdana"/>
          <w:sz w:val="24"/>
          <w:szCs w:val="24"/>
        </w:rPr>
        <w:t xml:space="preserve">Manifestacija se održava već nekoliko godina u </w:t>
      </w:r>
      <w:r>
        <w:rPr>
          <w:rFonts w:hint="default" w:ascii="Verdana" w:hAnsi="Verdana"/>
          <w:sz w:val="24"/>
          <w:szCs w:val="24"/>
          <w:lang w:val="hr-HR"/>
        </w:rPr>
        <w:t>srpnju ili kolovozu.</w:t>
      </w:r>
      <w:r>
        <w:rPr>
          <w:rFonts w:ascii="Verdana" w:hAnsi="Verdana"/>
          <w:sz w:val="24"/>
          <w:szCs w:val="24"/>
        </w:rPr>
        <w:t xml:space="preserve"> Održava se regata gajeta oko Krapanjskog arhipelaga. U regati sudjeluju brodice sa šireg područja županije iz primorskih mjesta i otoka. Cilj je prikazati tradiciju gajeta,zabava,sport i rekreacija.</w:t>
      </w:r>
    </w:p>
    <w:p w14:paraId="2BD73B5C">
      <w:pPr>
        <w:tabs>
          <w:tab w:val="left" w:pos="1905"/>
        </w:tabs>
        <w:rPr>
          <w:rFonts w:ascii="Verdana" w:hAnsi="Verdana"/>
          <w:sz w:val="24"/>
          <w:szCs w:val="24"/>
        </w:rPr>
      </w:pPr>
      <w:r>
        <w:rPr>
          <w:rFonts w:ascii="Verdana" w:hAnsi="Verdana"/>
          <w:sz w:val="24"/>
          <w:szCs w:val="24"/>
        </w:rPr>
        <w:t>Nositelj: TZ Krapanj-Brodarica i volonteri</w:t>
      </w:r>
    </w:p>
    <w:p w14:paraId="7EDB98FA">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4.0</w:t>
      </w:r>
      <w:r>
        <w:rPr>
          <w:rFonts w:ascii="Verdana" w:hAnsi="Verdana"/>
          <w:sz w:val="24"/>
          <w:szCs w:val="24"/>
        </w:rPr>
        <w:t>00,00 eura</w:t>
      </w:r>
    </w:p>
    <w:p w14:paraId="4FEDB49E">
      <w:pPr>
        <w:tabs>
          <w:tab w:val="left" w:pos="1905"/>
        </w:tabs>
        <w:rPr>
          <w:rFonts w:hint="default" w:ascii="Verdana" w:hAnsi="Verdana"/>
          <w:sz w:val="24"/>
          <w:szCs w:val="24"/>
          <w:lang w:val="hr-HR"/>
        </w:rPr>
      </w:pPr>
      <w:r>
        <w:rPr>
          <w:rFonts w:ascii="Verdana" w:hAnsi="Verdana"/>
          <w:sz w:val="24"/>
          <w:szCs w:val="24"/>
        </w:rPr>
        <w:t xml:space="preserve">Rok: </w:t>
      </w:r>
      <w:r>
        <w:rPr>
          <w:rFonts w:hint="default" w:ascii="Verdana" w:hAnsi="Verdana"/>
          <w:sz w:val="24"/>
          <w:szCs w:val="24"/>
          <w:lang w:val="hr-HR"/>
        </w:rPr>
        <w:t>srpanj/kolovoz</w:t>
      </w:r>
      <w:r>
        <w:rPr>
          <w:rFonts w:ascii="Verdana" w:hAnsi="Verdana"/>
          <w:sz w:val="24"/>
          <w:szCs w:val="24"/>
        </w:rPr>
        <w:t xml:space="preserve"> 202</w:t>
      </w:r>
      <w:r>
        <w:rPr>
          <w:rFonts w:hint="default" w:ascii="Verdana" w:hAnsi="Verdana"/>
          <w:sz w:val="24"/>
          <w:szCs w:val="24"/>
          <w:lang w:val="hr-HR"/>
        </w:rPr>
        <w:t>6.</w:t>
      </w:r>
    </w:p>
    <w:p w14:paraId="5B1AF099">
      <w:pPr>
        <w:tabs>
          <w:tab w:val="left" w:pos="1905"/>
        </w:tabs>
        <w:rPr>
          <w:rFonts w:hint="default" w:ascii="Verdana" w:hAnsi="Verdana"/>
          <w:sz w:val="24"/>
          <w:szCs w:val="24"/>
          <w:lang w:val="hr-HR"/>
        </w:rPr>
      </w:pPr>
      <w:r>
        <w:rPr>
          <w:rFonts w:ascii="Verdana" w:hAnsi="Verdana"/>
          <w:sz w:val="24"/>
          <w:szCs w:val="24"/>
        </w:rPr>
        <w:t>2.3.1.4.Utrka žena u nošenju vidra na glavi i druge otočke igre</w:t>
      </w:r>
      <w:r>
        <w:rPr>
          <w:rFonts w:hint="default" w:ascii="Verdana" w:hAnsi="Verdana"/>
          <w:sz w:val="24"/>
          <w:szCs w:val="24"/>
          <w:lang w:val="hr-HR"/>
        </w:rPr>
        <w:t>,proslava Gospe od Anđela</w:t>
      </w:r>
    </w:p>
    <w:p w14:paraId="1ABFD6CC">
      <w:pPr>
        <w:tabs>
          <w:tab w:val="left" w:pos="1905"/>
        </w:tabs>
        <w:rPr>
          <w:rFonts w:hint="default" w:ascii="Verdana" w:hAnsi="Verdana"/>
          <w:sz w:val="24"/>
          <w:szCs w:val="24"/>
          <w:lang w:val="hr-HR"/>
        </w:rPr>
      </w:pPr>
      <w:r>
        <w:rPr>
          <w:rFonts w:hint="default" w:ascii="Verdana" w:hAnsi="Verdana"/>
          <w:sz w:val="24"/>
          <w:szCs w:val="24"/>
          <w:lang w:val="hr-HR"/>
        </w:rPr>
        <w:t xml:space="preserve">Tradicionalna proslava blagdana,zaštitnice otoka Krapnja uz procesiju brodica i misu te nakon toga se održava utrka žena u nošenju vidra na glavi. </w:t>
      </w:r>
      <w:r>
        <w:rPr>
          <w:rFonts w:ascii="Verdana" w:hAnsi="Verdana"/>
          <w:sz w:val="24"/>
          <w:szCs w:val="24"/>
        </w:rPr>
        <w:t>Manifestacija se održava nekoliko godina i prikazuje tradicijski način kako su žene u prošlosti nosile namirnice i stvari u vidrima,drvenim bačvicama na glavi ,a ispod vidra se nosila „spara“ jastučić koji se ručno izrađivao kako bi nošenje bilo udobnije. Na zabavan način se prikazuje običaj tako da se ekipe utrkuju u nošenju vidra punog vode do velike bačve gdje se izlijeva voda.Osim toga se i potežu konopi. Turisti su jako zainteresirani za praćenje ove manifestacije</w:t>
      </w:r>
      <w:r>
        <w:rPr>
          <w:rFonts w:hint="default" w:ascii="Verdana" w:hAnsi="Verdana"/>
          <w:sz w:val="24"/>
          <w:szCs w:val="24"/>
          <w:lang w:val="hr-HR"/>
        </w:rPr>
        <w:t>,a uz to ima i popratni gastro i glazbeni nastup</w:t>
      </w:r>
    </w:p>
    <w:p w14:paraId="711810D4">
      <w:pPr>
        <w:tabs>
          <w:tab w:val="left" w:pos="1905"/>
        </w:tabs>
        <w:rPr>
          <w:rFonts w:hint="default" w:ascii="Verdana" w:hAnsi="Verdana"/>
          <w:sz w:val="24"/>
          <w:szCs w:val="24"/>
          <w:lang w:val="hr-HR"/>
        </w:rPr>
      </w:pPr>
      <w:r>
        <w:rPr>
          <w:rFonts w:ascii="Verdana" w:hAnsi="Verdana"/>
          <w:sz w:val="24"/>
          <w:szCs w:val="24"/>
        </w:rPr>
        <w:t>Nositelj: Ekološka  udruga „Zajedno za Krapanj“ uz TZ Krapanj-Brodarica</w:t>
      </w:r>
      <w:r>
        <w:rPr>
          <w:rFonts w:hint="default" w:ascii="Verdana" w:hAnsi="Verdana"/>
          <w:sz w:val="24"/>
          <w:szCs w:val="24"/>
          <w:lang w:val="hr-HR"/>
        </w:rPr>
        <w:t xml:space="preserve"> i volonteri</w:t>
      </w:r>
    </w:p>
    <w:p w14:paraId="11FCE0C4">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5.0</w:t>
      </w:r>
      <w:r>
        <w:rPr>
          <w:rFonts w:ascii="Verdana" w:hAnsi="Verdana"/>
          <w:sz w:val="24"/>
          <w:szCs w:val="24"/>
        </w:rPr>
        <w:t>00,00 eura</w:t>
      </w:r>
    </w:p>
    <w:p w14:paraId="485CBB7D">
      <w:pPr>
        <w:tabs>
          <w:tab w:val="left" w:pos="1905"/>
        </w:tabs>
        <w:rPr>
          <w:rFonts w:ascii="Verdana" w:hAnsi="Verdana"/>
          <w:sz w:val="24"/>
          <w:szCs w:val="24"/>
        </w:rPr>
      </w:pPr>
      <w:r>
        <w:rPr>
          <w:rFonts w:ascii="Verdana" w:hAnsi="Verdana"/>
          <w:sz w:val="24"/>
          <w:szCs w:val="24"/>
        </w:rPr>
        <w:t>Rok: kolovoz 202</w:t>
      </w:r>
      <w:r>
        <w:rPr>
          <w:rFonts w:hint="default" w:ascii="Verdana" w:hAnsi="Verdana"/>
          <w:sz w:val="24"/>
          <w:szCs w:val="24"/>
          <w:lang w:val="hr-HR"/>
        </w:rPr>
        <w:t>6</w:t>
      </w:r>
      <w:r>
        <w:rPr>
          <w:rFonts w:ascii="Verdana" w:hAnsi="Verdana"/>
          <w:sz w:val="24"/>
          <w:szCs w:val="24"/>
        </w:rPr>
        <w:t>.</w:t>
      </w:r>
    </w:p>
    <w:p w14:paraId="67209175">
      <w:pPr>
        <w:tabs>
          <w:tab w:val="left" w:pos="1905"/>
        </w:tabs>
        <w:rPr>
          <w:rFonts w:ascii="Verdana" w:hAnsi="Verdana"/>
          <w:sz w:val="24"/>
          <w:szCs w:val="24"/>
        </w:rPr>
      </w:pPr>
    </w:p>
    <w:p w14:paraId="0B7D57D1">
      <w:pPr>
        <w:tabs>
          <w:tab w:val="left" w:pos="1905"/>
        </w:tabs>
        <w:rPr>
          <w:rFonts w:ascii="Verdana" w:hAnsi="Verdana"/>
          <w:sz w:val="24"/>
          <w:szCs w:val="24"/>
        </w:rPr>
      </w:pPr>
      <w:r>
        <w:rPr>
          <w:rFonts w:ascii="Verdana" w:hAnsi="Verdana"/>
          <w:sz w:val="24"/>
          <w:szCs w:val="24"/>
        </w:rPr>
        <w:t>2.3.1.5.Promenade klape Krapanj-Brodarica</w:t>
      </w:r>
    </w:p>
    <w:p w14:paraId="3D9A9849">
      <w:pPr>
        <w:tabs>
          <w:tab w:val="left" w:pos="1905"/>
        </w:tabs>
        <w:rPr>
          <w:rFonts w:ascii="Verdana" w:hAnsi="Verdana"/>
          <w:sz w:val="24"/>
          <w:szCs w:val="24"/>
        </w:rPr>
      </w:pPr>
      <w:r>
        <w:rPr>
          <w:rFonts w:ascii="Verdana" w:hAnsi="Verdana"/>
          <w:sz w:val="24"/>
          <w:szCs w:val="24"/>
        </w:rPr>
        <w:t>Promenade klape se održavaju već nekoliko godina. Klape izvode svoje pjesme uz pratnju instrumenata kroz šetnice i uličice na otoku Krapnju i Brodarici obučeni u tradicionalne nošnje. Na ovaj način se isto tako prikazuje tradicija klapskog pjevanja.</w:t>
      </w:r>
    </w:p>
    <w:p w14:paraId="2C02B2B8">
      <w:pPr>
        <w:tabs>
          <w:tab w:val="left" w:pos="1905"/>
        </w:tabs>
        <w:rPr>
          <w:rFonts w:ascii="Verdana" w:hAnsi="Verdana"/>
          <w:sz w:val="24"/>
          <w:szCs w:val="24"/>
        </w:rPr>
      </w:pPr>
    </w:p>
    <w:p w14:paraId="5538DF81">
      <w:pPr>
        <w:tabs>
          <w:tab w:val="left" w:pos="1905"/>
        </w:tabs>
        <w:rPr>
          <w:rFonts w:ascii="Verdana" w:hAnsi="Verdana"/>
          <w:sz w:val="24"/>
          <w:szCs w:val="24"/>
        </w:rPr>
      </w:pPr>
      <w:r>
        <w:rPr>
          <w:rFonts w:ascii="Verdana" w:hAnsi="Verdana"/>
          <w:sz w:val="24"/>
          <w:szCs w:val="24"/>
        </w:rPr>
        <w:t>Nositelj: TZ Krapanj-Brodarica</w:t>
      </w:r>
    </w:p>
    <w:p w14:paraId="224007BD">
      <w:pPr>
        <w:tabs>
          <w:tab w:val="left" w:pos="1905"/>
        </w:tabs>
        <w:rPr>
          <w:rFonts w:ascii="Verdana" w:hAnsi="Verdana"/>
          <w:sz w:val="24"/>
          <w:szCs w:val="24"/>
        </w:rPr>
      </w:pPr>
      <w:r>
        <w:rPr>
          <w:rFonts w:ascii="Verdana" w:hAnsi="Verdana"/>
          <w:sz w:val="24"/>
          <w:szCs w:val="24"/>
        </w:rPr>
        <w:t xml:space="preserve">Iznos : </w:t>
      </w:r>
      <w:r>
        <w:rPr>
          <w:rFonts w:hint="default" w:ascii="Verdana" w:hAnsi="Verdana"/>
          <w:sz w:val="24"/>
          <w:szCs w:val="24"/>
          <w:lang w:val="hr-HR"/>
        </w:rPr>
        <w:t>6</w:t>
      </w:r>
      <w:r>
        <w:rPr>
          <w:rFonts w:ascii="Verdana" w:hAnsi="Verdana"/>
          <w:sz w:val="24"/>
          <w:szCs w:val="24"/>
        </w:rPr>
        <w:t>.500,00 eura</w:t>
      </w:r>
    </w:p>
    <w:p w14:paraId="26187895">
      <w:pPr>
        <w:tabs>
          <w:tab w:val="left" w:pos="1905"/>
        </w:tabs>
        <w:rPr>
          <w:rFonts w:ascii="Verdana" w:hAnsi="Verdana"/>
          <w:sz w:val="24"/>
          <w:szCs w:val="24"/>
        </w:rPr>
      </w:pPr>
      <w:r>
        <w:rPr>
          <w:rFonts w:ascii="Verdana" w:hAnsi="Verdana"/>
          <w:sz w:val="24"/>
          <w:szCs w:val="24"/>
        </w:rPr>
        <w:t>Rok: srpanj/kolovoz 202</w:t>
      </w:r>
      <w:r>
        <w:rPr>
          <w:rFonts w:hint="default" w:ascii="Verdana" w:hAnsi="Verdana"/>
          <w:sz w:val="24"/>
          <w:szCs w:val="24"/>
          <w:lang w:val="hr-HR"/>
        </w:rPr>
        <w:t>6</w:t>
      </w:r>
      <w:r>
        <w:rPr>
          <w:rFonts w:ascii="Verdana" w:hAnsi="Verdana"/>
          <w:sz w:val="24"/>
          <w:szCs w:val="24"/>
        </w:rPr>
        <w:t>.</w:t>
      </w:r>
    </w:p>
    <w:p w14:paraId="218CDD98">
      <w:pPr>
        <w:tabs>
          <w:tab w:val="left" w:pos="1905"/>
        </w:tabs>
        <w:rPr>
          <w:rFonts w:ascii="Verdana" w:hAnsi="Verdana"/>
          <w:sz w:val="24"/>
          <w:szCs w:val="24"/>
        </w:rPr>
      </w:pPr>
    </w:p>
    <w:p w14:paraId="2CC99BFB">
      <w:pPr>
        <w:tabs>
          <w:tab w:val="left" w:pos="1905"/>
        </w:tabs>
        <w:rPr>
          <w:rFonts w:ascii="Verdana" w:hAnsi="Verdana"/>
          <w:sz w:val="24"/>
          <w:szCs w:val="24"/>
        </w:rPr>
      </w:pPr>
      <w:r>
        <w:rPr>
          <w:rFonts w:ascii="Verdana" w:hAnsi="Verdana"/>
          <w:sz w:val="24"/>
          <w:szCs w:val="24"/>
        </w:rPr>
        <w:t>2.3.1.6.Pjena party/karaoke/ mini disco</w:t>
      </w:r>
    </w:p>
    <w:p w14:paraId="23FA20E8">
      <w:pPr>
        <w:tabs>
          <w:tab w:val="left" w:pos="1905"/>
        </w:tabs>
        <w:rPr>
          <w:rFonts w:ascii="Verdana" w:hAnsi="Verdana"/>
          <w:sz w:val="24"/>
          <w:szCs w:val="24"/>
        </w:rPr>
      </w:pPr>
      <w:r>
        <w:rPr>
          <w:rFonts w:ascii="Verdana" w:hAnsi="Verdana"/>
          <w:sz w:val="24"/>
          <w:szCs w:val="24"/>
        </w:rPr>
        <w:t>Uz razne sportske,kulturne i zabavne manifestacije za sve uzraste održavaju se pjena party,karaoke za djecu i mini disco za djecu. U ovim manifestacijama sudjeluju i posjetitelji ako žele te se pokazalo kao jako traženo i odlično posjećeno. Cilj je da se djeca druže i dobro zabave.</w:t>
      </w:r>
    </w:p>
    <w:p w14:paraId="2099248F">
      <w:pPr>
        <w:tabs>
          <w:tab w:val="left" w:pos="1905"/>
        </w:tabs>
        <w:rPr>
          <w:rFonts w:ascii="Verdana" w:hAnsi="Verdana"/>
          <w:sz w:val="24"/>
          <w:szCs w:val="24"/>
        </w:rPr>
      </w:pPr>
      <w:r>
        <w:rPr>
          <w:rFonts w:ascii="Verdana" w:hAnsi="Verdana"/>
          <w:sz w:val="24"/>
          <w:szCs w:val="24"/>
        </w:rPr>
        <w:t>Nositelj: TZ Krapanj-Brodarica</w:t>
      </w:r>
    </w:p>
    <w:p w14:paraId="5828B431">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.500,00 eura</w:t>
      </w:r>
    </w:p>
    <w:p w14:paraId="0332A625">
      <w:pPr>
        <w:tabs>
          <w:tab w:val="left" w:pos="1905"/>
        </w:tabs>
        <w:rPr>
          <w:rFonts w:ascii="Verdana" w:hAnsi="Verdana"/>
          <w:sz w:val="24"/>
          <w:szCs w:val="24"/>
        </w:rPr>
      </w:pPr>
      <w:r>
        <w:rPr>
          <w:rFonts w:ascii="Verdana" w:hAnsi="Verdana"/>
          <w:sz w:val="24"/>
          <w:szCs w:val="24"/>
        </w:rPr>
        <w:t>Rok: srpanj/kolovoz 202</w:t>
      </w:r>
      <w:r>
        <w:rPr>
          <w:rFonts w:hint="default" w:ascii="Verdana" w:hAnsi="Verdana"/>
          <w:sz w:val="24"/>
          <w:szCs w:val="24"/>
          <w:lang w:val="hr-HR"/>
        </w:rPr>
        <w:t>6</w:t>
      </w:r>
      <w:r>
        <w:rPr>
          <w:rFonts w:ascii="Verdana" w:hAnsi="Verdana"/>
          <w:sz w:val="24"/>
          <w:szCs w:val="24"/>
        </w:rPr>
        <w:t>.</w:t>
      </w:r>
    </w:p>
    <w:p w14:paraId="14350953">
      <w:pPr>
        <w:tabs>
          <w:tab w:val="left" w:pos="1905"/>
        </w:tabs>
        <w:rPr>
          <w:rFonts w:ascii="Verdana" w:hAnsi="Verdana"/>
          <w:sz w:val="24"/>
          <w:szCs w:val="24"/>
        </w:rPr>
      </w:pPr>
    </w:p>
    <w:p w14:paraId="61221F02">
      <w:pPr>
        <w:tabs>
          <w:tab w:val="left" w:pos="1905"/>
        </w:tabs>
        <w:rPr>
          <w:rFonts w:ascii="Verdana" w:hAnsi="Verdana"/>
          <w:sz w:val="24"/>
          <w:szCs w:val="24"/>
        </w:rPr>
      </w:pPr>
    </w:p>
    <w:p w14:paraId="3EA5E969">
      <w:pPr>
        <w:tabs>
          <w:tab w:val="left" w:pos="1905"/>
        </w:tabs>
        <w:rPr>
          <w:rFonts w:ascii="Verdana" w:hAnsi="Verdana"/>
          <w:sz w:val="24"/>
          <w:szCs w:val="24"/>
        </w:rPr>
      </w:pPr>
    </w:p>
    <w:p w14:paraId="4B6F59FB">
      <w:pPr>
        <w:tabs>
          <w:tab w:val="left" w:pos="1905"/>
        </w:tabs>
        <w:rPr>
          <w:rFonts w:ascii="Verdana" w:hAnsi="Verdana"/>
          <w:sz w:val="24"/>
          <w:szCs w:val="24"/>
        </w:rPr>
      </w:pPr>
      <w:r>
        <w:rPr>
          <w:rFonts w:ascii="Verdana" w:hAnsi="Verdana"/>
          <w:sz w:val="24"/>
          <w:szCs w:val="24"/>
        </w:rPr>
        <w:t>2.3.1.</w:t>
      </w:r>
      <w:r>
        <w:rPr>
          <w:rFonts w:hint="default" w:ascii="Verdana" w:hAnsi="Verdana"/>
          <w:sz w:val="24"/>
          <w:szCs w:val="24"/>
          <w:lang w:val="hr-HR"/>
        </w:rPr>
        <w:t>7</w:t>
      </w:r>
      <w:r>
        <w:rPr>
          <w:rFonts w:ascii="Verdana" w:hAnsi="Verdana"/>
          <w:sz w:val="24"/>
          <w:szCs w:val="24"/>
        </w:rPr>
        <w:t>. Brodariške maškare</w:t>
      </w:r>
    </w:p>
    <w:p w14:paraId="01D7D236">
      <w:pPr>
        <w:tabs>
          <w:tab w:val="left" w:pos="1905"/>
        </w:tabs>
        <w:rPr>
          <w:rFonts w:ascii="Verdana" w:hAnsi="Verdana"/>
          <w:sz w:val="24"/>
          <w:szCs w:val="24"/>
        </w:rPr>
      </w:pPr>
      <w:r>
        <w:rPr>
          <w:rFonts w:ascii="Verdana" w:hAnsi="Verdana"/>
          <w:sz w:val="24"/>
          <w:szCs w:val="24"/>
        </w:rPr>
        <w:t>Karnevalska zabava koju vole i djeca i odrasli koja se također ponovno organizira nakon pandemijske stanke.</w:t>
      </w:r>
    </w:p>
    <w:p w14:paraId="3B083227">
      <w:pPr>
        <w:tabs>
          <w:tab w:val="left" w:pos="1905"/>
        </w:tabs>
        <w:rPr>
          <w:rFonts w:ascii="Verdana" w:hAnsi="Verdana"/>
          <w:sz w:val="24"/>
          <w:szCs w:val="24"/>
        </w:rPr>
      </w:pPr>
      <w:r>
        <w:rPr>
          <w:rFonts w:ascii="Verdana" w:hAnsi="Verdana"/>
          <w:sz w:val="24"/>
          <w:szCs w:val="24"/>
        </w:rPr>
        <w:t>Nositelj: TZ Krapanj Brodarica,udruge i volonteri</w:t>
      </w:r>
    </w:p>
    <w:p w14:paraId="0080A29D">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3.0</w:t>
      </w:r>
      <w:r>
        <w:rPr>
          <w:rFonts w:ascii="Verdana" w:hAnsi="Verdana"/>
          <w:sz w:val="24"/>
          <w:szCs w:val="24"/>
        </w:rPr>
        <w:t>00,00 eura</w:t>
      </w:r>
    </w:p>
    <w:p w14:paraId="052BEB3E">
      <w:pPr>
        <w:tabs>
          <w:tab w:val="left" w:pos="1905"/>
        </w:tabs>
        <w:rPr>
          <w:rFonts w:ascii="Verdana" w:hAnsi="Verdana"/>
          <w:sz w:val="24"/>
          <w:szCs w:val="24"/>
        </w:rPr>
      </w:pPr>
      <w:r>
        <w:rPr>
          <w:rFonts w:ascii="Verdana" w:hAnsi="Verdana"/>
          <w:sz w:val="24"/>
          <w:szCs w:val="24"/>
        </w:rPr>
        <w:t>Rok: veljača 202</w:t>
      </w:r>
      <w:r>
        <w:rPr>
          <w:rFonts w:hint="default" w:ascii="Verdana" w:hAnsi="Verdana"/>
          <w:sz w:val="24"/>
          <w:szCs w:val="24"/>
          <w:lang w:val="hr-HR"/>
        </w:rPr>
        <w:t>6</w:t>
      </w:r>
      <w:r>
        <w:rPr>
          <w:rFonts w:ascii="Verdana" w:hAnsi="Verdana"/>
          <w:sz w:val="24"/>
          <w:szCs w:val="24"/>
        </w:rPr>
        <w:t>.</w:t>
      </w:r>
    </w:p>
    <w:p w14:paraId="0C3BD6D9">
      <w:pPr>
        <w:tabs>
          <w:tab w:val="left" w:pos="1905"/>
        </w:tabs>
        <w:rPr>
          <w:rFonts w:ascii="Verdana" w:hAnsi="Verdana"/>
          <w:sz w:val="24"/>
          <w:szCs w:val="24"/>
        </w:rPr>
      </w:pPr>
    </w:p>
    <w:p w14:paraId="07EC17AB">
      <w:pPr>
        <w:tabs>
          <w:tab w:val="left" w:pos="1905"/>
        </w:tabs>
        <w:rPr>
          <w:rFonts w:ascii="Verdana" w:hAnsi="Verdana"/>
          <w:sz w:val="24"/>
          <w:szCs w:val="24"/>
        </w:rPr>
      </w:pPr>
      <w:r>
        <w:rPr>
          <w:rFonts w:ascii="Verdana" w:hAnsi="Verdana"/>
          <w:sz w:val="24"/>
          <w:szCs w:val="24"/>
        </w:rPr>
        <w:t>2.3.1.</w:t>
      </w:r>
      <w:r>
        <w:rPr>
          <w:rFonts w:hint="default" w:ascii="Verdana" w:hAnsi="Verdana"/>
          <w:sz w:val="24"/>
          <w:szCs w:val="24"/>
          <w:lang w:val="hr-HR"/>
        </w:rPr>
        <w:t>8</w:t>
      </w:r>
      <w:r>
        <w:rPr>
          <w:rFonts w:ascii="Verdana" w:hAnsi="Verdana"/>
          <w:sz w:val="24"/>
          <w:szCs w:val="24"/>
        </w:rPr>
        <w:t>. Advent u Brodarici</w:t>
      </w:r>
    </w:p>
    <w:p w14:paraId="6D0CDCBB">
      <w:pPr>
        <w:tabs>
          <w:tab w:val="left" w:pos="1905"/>
        </w:tabs>
        <w:rPr>
          <w:rFonts w:ascii="Verdana" w:hAnsi="Verdana"/>
          <w:sz w:val="24"/>
          <w:szCs w:val="24"/>
        </w:rPr>
      </w:pPr>
      <w:r>
        <w:rPr>
          <w:rFonts w:ascii="Verdana" w:hAnsi="Verdana"/>
          <w:sz w:val="24"/>
          <w:szCs w:val="24"/>
        </w:rPr>
        <w:t>Božićna zabava za djecu i odrasle,program za djecu,djed mraz,pokloni,photo point,hrana,piće i glazba</w:t>
      </w:r>
    </w:p>
    <w:p w14:paraId="2CA82007">
      <w:pPr>
        <w:tabs>
          <w:tab w:val="left" w:pos="1905"/>
        </w:tabs>
        <w:rPr>
          <w:rFonts w:ascii="Verdana" w:hAnsi="Verdana"/>
          <w:sz w:val="24"/>
          <w:szCs w:val="24"/>
        </w:rPr>
      </w:pPr>
      <w:r>
        <w:rPr>
          <w:rFonts w:ascii="Verdana" w:hAnsi="Verdana"/>
          <w:sz w:val="24"/>
          <w:szCs w:val="24"/>
        </w:rPr>
        <w:t>Nositelj: TZ Krapanj-Brodarica,</w:t>
      </w:r>
      <w:r>
        <w:rPr>
          <w:rFonts w:hint="default" w:ascii="Verdana" w:hAnsi="Verdana"/>
          <w:sz w:val="24"/>
          <w:szCs w:val="24"/>
          <w:lang w:val="hr-HR"/>
        </w:rPr>
        <w:t>udruge</w:t>
      </w:r>
      <w:r>
        <w:rPr>
          <w:rFonts w:ascii="Verdana" w:hAnsi="Verdana"/>
          <w:sz w:val="24"/>
          <w:szCs w:val="24"/>
        </w:rPr>
        <w:t xml:space="preserve"> i volonteri</w:t>
      </w:r>
    </w:p>
    <w:p w14:paraId="585E50D6">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1B752706">
      <w:pPr>
        <w:tabs>
          <w:tab w:val="left" w:pos="1905"/>
        </w:tabs>
        <w:rPr>
          <w:rFonts w:ascii="Verdana" w:hAnsi="Verdana"/>
          <w:sz w:val="24"/>
          <w:szCs w:val="24"/>
        </w:rPr>
      </w:pPr>
      <w:r>
        <w:rPr>
          <w:rFonts w:ascii="Verdana" w:hAnsi="Verdana"/>
          <w:sz w:val="24"/>
          <w:szCs w:val="24"/>
        </w:rPr>
        <w:t>Rok: prosinac 202</w:t>
      </w:r>
      <w:r>
        <w:rPr>
          <w:rFonts w:hint="default" w:ascii="Verdana" w:hAnsi="Verdana"/>
          <w:sz w:val="24"/>
          <w:szCs w:val="24"/>
          <w:lang w:val="hr-HR"/>
        </w:rPr>
        <w:t>6</w:t>
      </w:r>
      <w:r>
        <w:rPr>
          <w:rFonts w:ascii="Verdana" w:hAnsi="Verdana"/>
          <w:sz w:val="24"/>
          <w:szCs w:val="24"/>
        </w:rPr>
        <w:t>.</w:t>
      </w:r>
    </w:p>
    <w:p w14:paraId="2B58587D">
      <w:pPr>
        <w:tabs>
          <w:tab w:val="left" w:pos="1905"/>
        </w:tabs>
        <w:rPr>
          <w:rFonts w:ascii="Verdana" w:hAnsi="Verdana"/>
          <w:sz w:val="24"/>
          <w:szCs w:val="24"/>
        </w:rPr>
      </w:pPr>
    </w:p>
    <w:p w14:paraId="1CD32B16">
      <w:pPr>
        <w:tabs>
          <w:tab w:val="left" w:pos="1905"/>
        </w:tabs>
        <w:rPr>
          <w:rFonts w:hint="default" w:ascii="Verdana" w:hAnsi="Verdana"/>
          <w:sz w:val="24"/>
          <w:szCs w:val="24"/>
          <w:lang w:val="hr-HR"/>
        </w:rPr>
      </w:pPr>
      <w:r>
        <w:rPr>
          <w:rFonts w:hint="default" w:ascii="Verdana" w:hAnsi="Verdana"/>
          <w:sz w:val="24"/>
          <w:szCs w:val="24"/>
          <w:lang w:val="hr-HR"/>
        </w:rPr>
        <w:t>2.3.1.9. Dječje radionice</w:t>
      </w:r>
    </w:p>
    <w:p w14:paraId="5DEFFB6D">
      <w:pPr>
        <w:tabs>
          <w:tab w:val="left" w:pos="1905"/>
        </w:tabs>
        <w:rPr>
          <w:rFonts w:hint="default" w:ascii="Verdana" w:hAnsi="Verdana"/>
          <w:sz w:val="24"/>
          <w:szCs w:val="24"/>
          <w:lang w:val="hr-HR"/>
        </w:rPr>
      </w:pPr>
      <w:r>
        <w:rPr>
          <w:rFonts w:hint="default" w:ascii="Verdana" w:hAnsi="Verdana"/>
          <w:sz w:val="24"/>
          <w:szCs w:val="24"/>
          <w:lang w:val="hr-HR"/>
        </w:rPr>
        <w:t>Tijekom godine održat će se dječje radionice plesa,crtanja i raznih igara</w:t>
      </w:r>
    </w:p>
    <w:p w14:paraId="5D8EB6B6">
      <w:pPr>
        <w:tabs>
          <w:tab w:val="left" w:pos="1905"/>
        </w:tabs>
        <w:rPr>
          <w:rFonts w:ascii="Verdana" w:hAnsi="Verdana"/>
          <w:sz w:val="24"/>
          <w:szCs w:val="24"/>
        </w:rPr>
      </w:pPr>
      <w:r>
        <w:rPr>
          <w:rFonts w:ascii="Verdana" w:hAnsi="Verdana"/>
          <w:sz w:val="24"/>
          <w:szCs w:val="24"/>
        </w:rPr>
        <w:t>Nositelj: TZ Krapanj-Brodarica,</w:t>
      </w:r>
      <w:r>
        <w:rPr>
          <w:rFonts w:hint="default" w:ascii="Verdana" w:hAnsi="Verdana"/>
          <w:sz w:val="24"/>
          <w:szCs w:val="24"/>
          <w:lang w:val="hr-HR"/>
        </w:rPr>
        <w:t>udruge</w:t>
      </w:r>
      <w:r>
        <w:rPr>
          <w:rFonts w:ascii="Verdana" w:hAnsi="Verdana"/>
          <w:sz w:val="24"/>
          <w:szCs w:val="24"/>
        </w:rPr>
        <w:t xml:space="preserve"> i volonteri</w:t>
      </w:r>
    </w:p>
    <w:p w14:paraId="2F6C89CE">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7A2F5B9D">
      <w:pPr>
        <w:tabs>
          <w:tab w:val="left" w:pos="1905"/>
        </w:tabs>
        <w:rPr>
          <w:rFonts w:ascii="Verdana" w:hAnsi="Verdana"/>
          <w:sz w:val="24"/>
          <w:szCs w:val="24"/>
        </w:rPr>
      </w:pPr>
      <w:r>
        <w:rPr>
          <w:rFonts w:ascii="Verdana" w:hAnsi="Verdana"/>
          <w:sz w:val="24"/>
          <w:szCs w:val="24"/>
        </w:rPr>
        <w:t xml:space="preserve">Rok: </w:t>
      </w:r>
      <w:r>
        <w:rPr>
          <w:rFonts w:hint="default" w:ascii="Verdana" w:hAnsi="Verdana"/>
          <w:sz w:val="24"/>
          <w:szCs w:val="24"/>
          <w:lang w:val="hr-HR"/>
        </w:rPr>
        <w:t>tijekom cijele godine</w:t>
      </w:r>
      <w:r>
        <w:rPr>
          <w:rFonts w:ascii="Verdana" w:hAnsi="Verdana"/>
          <w:sz w:val="24"/>
          <w:szCs w:val="24"/>
        </w:rPr>
        <w:t xml:space="preserve"> 202</w:t>
      </w:r>
      <w:r>
        <w:rPr>
          <w:rFonts w:hint="default" w:ascii="Verdana" w:hAnsi="Verdana"/>
          <w:sz w:val="24"/>
          <w:szCs w:val="24"/>
          <w:lang w:val="hr-HR"/>
        </w:rPr>
        <w:t>6</w:t>
      </w:r>
      <w:r>
        <w:rPr>
          <w:rFonts w:ascii="Verdana" w:hAnsi="Verdana"/>
          <w:sz w:val="24"/>
          <w:szCs w:val="24"/>
        </w:rPr>
        <w:t>.</w:t>
      </w:r>
    </w:p>
    <w:p w14:paraId="37A9FADF">
      <w:pPr>
        <w:tabs>
          <w:tab w:val="left" w:pos="1905"/>
        </w:tabs>
        <w:rPr>
          <w:rFonts w:ascii="Verdana" w:hAnsi="Verdana"/>
          <w:sz w:val="24"/>
          <w:szCs w:val="24"/>
        </w:rPr>
      </w:pPr>
    </w:p>
    <w:p w14:paraId="42BD208B">
      <w:pPr>
        <w:tabs>
          <w:tab w:val="left" w:pos="1905"/>
        </w:tabs>
        <w:rPr>
          <w:rFonts w:hint="default" w:ascii="Verdana" w:hAnsi="Verdana"/>
          <w:sz w:val="24"/>
          <w:szCs w:val="24"/>
          <w:lang w:val="hr-HR"/>
        </w:rPr>
      </w:pPr>
      <w:r>
        <w:rPr>
          <w:rFonts w:hint="default" w:ascii="Verdana" w:hAnsi="Verdana"/>
          <w:sz w:val="24"/>
          <w:szCs w:val="24"/>
          <w:lang w:val="hr-HR"/>
        </w:rPr>
        <w:t>2.3.1.10. Maratuša beach party</w:t>
      </w:r>
    </w:p>
    <w:p w14:paraId="3F29CF5B">
      <w:pPr>
        <w:tabs>
          <w:tab w:val="left" w:pos="1905"/>
        </w:tabs>
        <w:rPr>
          <w:rFonts w:hint="default" w:ascii="Verdana" w:hAnsi="Verdana"/>
          <w:sz w:val="24"/>
          <w:szCs w:val="24"/>
          <w:lang w:val="hr-HR"/>
        </w:rPr>
      </w:pPr>
      <w:r>
        <w:rPr>
          <w:rFonts w:hint="default" w:ascii="Verdana" w:hAnsi="Verdana"/>
          <w:sz w:val="24"/>
          <w:szCs w:val="24"/>
          <w:lang w:val="hr-HR"/>
        </w:rPr>
        <w:t>Party na dijelu Brodarice Maratuša kako bi na svim dijelovimamjesta bio neki događaj.Uz glazbu t je i ugostiteljska ponuda hrane i pića.</w:t>
      </w:r>
    </w:p>
    <w:p w14:paraId="0E495E3B">
      <w:pPr>
        <w:tabs>
          <w:tab w:val="left" w:pos="1905"/>
        </w:tabs>
        <w:rPr>
          <w:rFonts w:ascii="Verdana" w:hAnsi="Verdana"/>
          <w:sz w:val="24"/>
          <w:szCs w:val="24"/>
        </w:rPr>
      </w:pPr>
      <w:r>
        <w:rPr>
          <w:rFonts w:ascii="Verdana" w:hAnsi="Verdana"/>
          <w:sz w:val="24"/>
          <w:szCs w:val="24"/>
        </w:rPr>
        <w:t>Nositelj: TZ Krapanj-Brodarica,</w:t>
      </w:r>
      <w:r>
        <w:rPr>
          <w:rFonts w:hint="default" w:ascii="Verdana" w:hAnsi="Verdana"/>
          <w:sz w:val="24"/>
          <w:szCs w:val="24"/>
          <w:lang w:val="hr-HR"/>
        </w:rPr>
        <w:t>ugostitelji</w:t>
      </w:r>
      <w:r>
        <w:rPr>
          <w:rFonts w:ascii="Verdana" w:hAnsi="Verdana"/>
          <w:sz w:val="24"/>
          <w:szCs w:val="24"/>
        </w:rPr>
        <w:t xml:space="preserve"> i volonteri</w:t>
      </w:r>
    </w:p>
    <w:p w14:paraId="184BCA5D">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354911B4">
      <w:pPr>
        <w:tabs>
          <w:tab w:val="left" w:pos="1905"/>
        </w:tabs>
        <w:rPr>
          <w:rFonts w:ascii="Verdana" w:hAnsi="Verdana"/>
          <w:sz w:val="24"/>
          <w:szCs w:val="24"/>
        </w:rPr>
      </w:pPr>
      <w:r>
        <w:rPr>
          <w:rFonts w:ascii="Verdana" w:hAnsi="Verdana"/>
          <w:sz w:val="24"/>
          <w:szCs w:val="24"/>
        </w:rPr>
        <w:t xml:space="preserve">Rok: </w:t>
      </w:r>
      <w:r>
        <w:rPr>
          <w:rFonts w:hint="default" w:ascii="Verdana" w:hAnsi="Verdana"/>
          <w:sz w:val="24"/>
          <w:szCs w:val="24"/>
          <w:lang w:val="hr-HR"/>
        </w:rPr>
        <w:t>kolovoz</w:t>
      </w:r>
      <w:r>
        <w:rPr>
          <w:rFonts w:ascii="Verdana" w:hAnsi="Verdana"/>
          <w:sz w:val="24"/>
          <w:szCs w:val="24"/>
        </w:rPr>
        <w:t xml:space="preserve"> 202</w:t>
      </w:r>
      <w:r>
        <w:rPr>
          <w:rFonts w:hint="default" w:ascii="Verdana" w:hAnsi="Verdana"/>
          <w:sz w:val="24"/>
          <w:szCs w:val="24"/>
          <w:lang w:val="hr-HR"/>
        </w:rPr>
        <w:t>6</w:t>
      </w:r>
      <w:r>
        <w:rPr>
          <w:rFonts w:ascii="Verdana" w:hAnsi="Verdana"/>
          <w:sz w:val="24"/>
          <w:szCs w:val="24"/>
        </w:rPr>
        <w:t>.</w:t>
      </w:r>
    </w:p>
    <w:p w14:paraId="2352DF0E">
      <w:pPr>
        <w:tabs>
          <w:tab w:val="left" w:pos="1905"/>
        </w:tabs>
        <w:rPr>
          <w:rFonts w:hint="default" w:ascii="Verdana" w:hAnsi="Verdana"/>
          <w:sz w:val="24"/>
          <w:szCs w:val="24"/>
          <w:lang w:val="hr-HR"/>
        </w:rPr>
      </w:pPr>
    </w:p>
    <w:p w14:paraId="5FA21BA5">
      <w:pPr>
        <w:tabs>
          <w:tab w:val="left" w:pos="1905"/>
        </w:tabs>
        <w:rPr>
          <w:rFonts w:hint="default" w:ascii="Verdana" w:hAnsi="Verdana"/>
          <w:sz w:val="24"/>
          <w:szCs w:val="24"/>
          <w:lang w:val="hr-HR"/>
        </w:rPr>
      </w:pPr>
    </w:p>
    <w:p w14:paraId="7E4333D1">
      <w:pPr>
        <w:tabs>
          <w:tab w:val="left" w:pos="1905"/>
        </w:tabs>
        <w:rPr>
          <w:rFonts w:hint="default" w:ascii="Verdana" w:hAnsi="Verdana"/>
          <w:sz w:val="24"/>
          <w:szCs w:val="24"/>
          <w:lang w:val="hr-HR"/>
        </w:rPr>
      </w:pPr>
      <w:r>
        <w:rPr>
          <w:rFonts w:hint="default" w:ascii="Verdana" w:hAnsi="Verdana"/>
          <w:sz w:val="24"/>
          <w:szCs w:val="24"/>
          <w:lang w:val="hr-HR"/>
        </w:rPr>
        <w:t>2.3.1.11. Glazbene večeri</w:t>
      </w:r>
    </w:p>
    <w:p w14:paraId="0AD171E8">
      <w:pPr>
        <w:tabs>
          <w:tab w:val="left" w:pos="1905"/>
        </w:tabs>
        <w:rPr>
          <w:rFonts w:hint="default" w:ascii="Verdana" w:hAnsi="Verdana"/>
          <w:sz w:val="24"/>
          <w:szCs w:val="24"/>
          <w:lang w:val="hr-HR"/>
        </w:rPr>
      </w:pPr>
      <w:r>
        <w:rPr>
          <w:rFonts w:hint="default" w:ascii="Verdana" w:hAnsi="Verdana"/>
          <w:sz w:val="24"/>
          <w:szCs w:val="24"/>
          <w:lang w:val="hr-HR"/>
        </w:rPr>
        <w:t>Glazbene večeri na Brodarici i Krapnju uz nastup benda,trgovi,plaže</w:t>
      </w:r>
    </w:p>
    <w:p w14:paraId="7C356DC2">
      <w:pPr>
        <w:tabs>
          <w:tab w:val="left" w:pos="1905"/>
        </w:tabs>
        <w:rPr>
          <w:rFonts w:ascii="Verdana" w:hAnsi="Verdana"/>
          <w:sz w:val="24"/>
          <w:szCs w:val="24"/>
        </w:rPr>
      </w:pPr>
      <w:r>
        <w:rPr>
          <w:rFonts w:ascii="Verdana" w:hAnsi="Verdana"/>
          <w:sz w:val="24"/>
          <w:szCs w:val="24"/>
        </w:rPr>
        <w:t>Nositelj: TZ Krapanj-Brodarica,</w:t>
      </w:r>
      <w:r>
        <w:rPr>
          <w:rFonts w:hint="default" w:ascii="Verdana" w:hAnsi="Verdana"/>
          <w:sz w:val="24"/>
          <w:szCs w:val="24"/>
          <w:lang w:val="hr-HR"/>
        </w:rPr>
        <w:t>ugostitelji</w:t>
      </w:r>
      <w:r>
        <w:rPr>
          <w:rFonts w:ascii="Verdana" w:hAnsi="Verdana"/>
          <w:sz w:val="24"/>
          <w:szCs w:val="24"/>
        </w:rPr>
        <w:t xml:space="preserve"> i volonteri</w:t>
      </w:r>
    </w:p>
    <w:p w14:paraId="56FF4774">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5</w:t>
      </w:r>
      <w:r>
        <w:rPr>
          <w:rFonts w:ascii="Verdana" w:hAnsi="Verdana"/>
          <w:sz w:val="24"/>
          <w:szCs w:val="24"/>
        </w:rPr>
        <w:t>.000,00 eura</w:t>
      </w:r>
    </w:p>
    <w:p w14:paraId="3706396C">
      <w:pPr>
        <w:tabs>
          <w:tab w:val="left" w:pos="1905"/>
        </w:tabs>
        <w:rPr>
          <w:rFonts w:ascii="Verdana" w:hAnsi="Verdana"/>
          <w:sz w:val="24"/>
          <w:szCs w:val="24"/>
        </w:rPr>
      </w:pPr>
      <w:r>
        <w:rPr>
          <w:rFonts w:ascii="Verdana" w:hAnsi="Verdana"/>
          <w:sz w:val="24"/>
          <w:szCs w:val="24"/>
        </w:rPr>
        <w:t xml:space="preserve">Rok: </w:t>
      </w:r>
      <w:r>
        <w:rPr>
          <w:rFonts w:hint="default" w:ascii="Verdana" w:hAnsi="Verdana"/>
          <w:sz w:val="24"/>
          <w:szCs w:val="24"/>
          <w:lang w:val="hr-HR"/>
        </w:rPr>
        <w:t>kolovoz</w:t>
      </w:r>
      <w:r>
        <w:rPr>
          <w:rFonts w:ascii="Verdana" w:hAnsi="Verdana"/>
          <w:sz w:val="24"/>
          <w:szCs w:val="24"/>
        </w:rPr>
        <w:t xml:space="preserve"> 202</w:t>
      </w:r>
      <w:r>
        <w:rPr>
          <w:rFonts w:hint="default" w:ascii="Verdana" w:hAnsi="Verdana"/>
          <w:sz w:val="24"/>
          <w:szCs w:val="24"/>
          <w:lang w:val="hr-HR"/>
        </w:rPr>
        <w:t>6</w:t>
      </w:r>
      <w:r>
        <w:rPr>
          <w:rFonts w:ascii="Verdana" w:hAnsi="Verdana"/>
          <w:sz w:val="24"/>
          <w:szCs w:val="24"/>
        </w:rPr>
        <w:t>.</w:t>
      </w:r>
    </w:p>
    <w:p w14:paraId="39227040">
      <w:pPr>
        <w:tabs>
          <w:tab w:val="left" w:pos="1905"/>
        </w:tabs>
        <w:rPr>
          <w:rFonts w:ascii="Verdana" w:hAnsi="Verdana"/>
          <w:sz w:val="24"/>
          <w:szCs w:val="24"/>
        </w:rPr>
      </w:pPr>
    </w:p>
    <w:p w14:paraId="0EDDB2C2">
      <w:pPr>
        <w:tabs>
          <w:tab w:val="left" w:pos="1905"/>
        </w:tabs>
        <w:rPr>
          <w:rFonts w:ascii="Verdana" w:hAnsi="Verdana"/>
          <w:sz w:val="24"/>
          <w:szCs w:val="24"/>
        </w:rPr>
      </w:pPr>
      <w:r>
        <w:rPr>
          <w:rFonts w:ascii="Verdana" w:hAnsi="Verdana"/>
          <w:sz w:val="24"/>
          <w:szCs w:val="24"/>
        </w:rPr>
        <w:t>2.3.1.</w:t>
      </w:r>
      <w:r>
        <w:rPr>
          <w:rFonts w:hint="default" w:ascii="Verdana" w:hAnsi="Verdana"/>
          <w:sz w:val="24"/>
          <w:szCs w:val="24"/>
          <w:lang w:val="hr-HR"/>
        </w:rPr>
        <w:t>12</w:t>
      </w:r>
      <w:r>
        <w:rPr>
          <w:rFonts w:ascii="Verdana" w:hAnsi="Verdana"/>
          <w:sz w:val="24"/>
          <w:szCs w:val="24"/>
        </w:rPr>
        <w:t>.Potpore manifestacijama i donacije za organizaciju</w:t>
      </w:r>
    </w:p>
    <w:p w14:paraId="6C938468">
      <w:pPr>
        <w:tabs>
          <w:tab w:val="left" w:pos="1905"/>
        </w:tabs>
        <w:rPr>
          <w:rFonts w:hint="default" w:ascii="Verdana" w:hAnsi="Verdana"/>
          <w:sz w:val="24"/>
          <w:szCs w:val="24"/>
          <w:lang w:val="hr-HR"/>
        </w:rPr>
      </w:pPr>
      <w:r>
        <w:rPr>
          <w:rFonts w:ascii="Verdana" w:hAnsi="Verdana"/>
          <w:sz w:val="24"/>
          <w:szCs w:val="24"/>
        </w:rPr>
        <w:t>Ukoliko se pokaže potreba za sufinanciranjem određenih manifestacija u organizaciji udruga ili sličnih organizacija tijekom ljeta ili u predsezoni i podsezoni,koje bi upotpunile ponudu ili produžile sezonu</w:t>
      </w:r>
      <w:r>
        <w:rPr>
          <w:rFonts w:hint="default" w:ascii="Verdana" w:hAnsi="Verdana"/>
          <w:sz w:val="24"/>
          <w:szCs w:val="24"/>
          <w:lang w:val="hr-HR"/>
        </w:rPr>
        <w:t xml:space="preserve"> ili naknadno dobru ideju realizirati.</w:t>
      </w:r>
    </w:p>
    <w:p w14:paraId="01219142">
      <w:pPr>
        <w:tabs>
          <w:tab w:val="left" w:pos="1905"/>
        </w:tabs>
        <w:rPr>
          <w:rFonts w:ascii="Verdana" w:hAnsi="Verdana"/>
          <w:sz w:val="24"/>
          <w:szCs w:val="24"/>
        </w:rPr>
      </w:pPr>
      <w:r>
        <w:rPr>
          <w:rFonts w:ascii="Verdana" w:hAnsi="Verdana"/>
          <w:sz w:val="24"/>
          <w:szCs w:val="24"/>
        </w:rPr>
        <w:t>Nositelj: TZ Krapanj-Brodarica i udruge</w:t>
      </w:r>
    </w:p>
    <w:p w14:paraId="406EA004">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1EAC1F6E">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2CE61F65">
      <w:pPr>
        <w:tabs>
          <w:tab w:val="left" w:pos="1905"/>
        </w:tabs>
        <w:rPr>
          <w:rFonts w:ascii="Verdana" w:hAnsi="Verdana"/>
          <w:sz w:val="24"/>
          <w:szCs w:val="24"/>
        </w:rPr>
      </w:pPr>
    </w:p>
    <w:p w14:paraId="00716B9D">
      <w:pPr>
        <w:tabs>
          <w:tab w:val="left" w:pos="1905"/>
        </w:tabs>
        <w:rPr>
          <w:rFonts w:ascii="Verdana" w:hAnsi="Verdana"/>
          <w:sz w:val="24"/>
          <w:szCs w:val="24"/>
        </w:rPr>
      </w:pPr>
    </w:p>
    <w:p w14:paraId="62439739">
      <w:pPr>
        <w:tabs>
          <w:tab w:val="left" w:pos="1905"/>
        </w:tabs>
        <w:rPr>
          <w:rFonts w:ascii="Verdana" w:hAnsi="Verdana"/>
          <w:sz w:val="24"/>
          <w:szCs w:val="24"/>
        </w:rPr>
      </w:pPr>
      <w:r>
        <w:rPr>
          <w:rFonts w:ascii="Verdana" w:hAnsi="Verdana"/>
          <w:sz w:val="24"/>
          <w:szCs w:val="24"/>
        </w:rPr>
        <w:t>Troškovi za sve nabrojene manifestacije uključuju promoviranje,oglašavanje,izvođače,zamp,hrana,piće i smještaj za sudionike,najam opreme kao što su pozornica,rasvjeta,razglas,promo majice,najam wc kabina,nagrade,medalje i slično.</w:t>
      </w:r>
    </w:p>
    <w:p w14:paraId="78016B44">
      <w:pPr>
        <w:tabs>
          <w:tab w:val="left" w:pos="1905"/>
        </w:tabs>
        <w:rPr>
          <w:rFonts w:ascii="Verdana" w:hAnsi="Verdana"/>
          <w:sz w:val="24"/>
          <w:szCs w:val="24"/>
        </w:rPr>
      </w:pPr>
      <w:r>
        <w:rPr>
          <w:rFonts w:ascii="Verdana" w:hAnsi="Verdana"/>
          <w:sz w:val="24"/>
          <w:szCs w:val="24"/>
        </w:rPr>
        <w:t>Ukoliko se pokaže potreba ili prilika za organizacijom još neke zanimljive manifestacije iskoristiti će se sredstva koja će biti u stavci pričuve za nepredviđene troškove poslovanja.</w:t>
      </w:r>
    </w:p>
    <w:p w14:paraId="665C7460">
      <w:pPr>
        <w:tabs>
          <w:tab w:val="left" w:pos="1905"/>
        </w:tabs>
        <w:rPr>
          <w:rFonts w:ascii="Verdana" w:hAnsi="Verdana"/>
          <w:sz w:val="24"/>
          <w:szCs w:val="24"/>
        </w:rPr>
      </w:pPr>
      <w:r>
        <w:rPr>
          <w:rFonts w:ascii="Verdana" w:hAnsi="Verdana"/>
          <w:sz w:val="24"/>
          <w:szCs w:val="24"/>
        </w:rPr>
        <w:t>Za sve manifestacije TZ Krapanj-Brodarica je ili nositelj ili suorganizator. Udruge koje djeluju u mjestu Brodarica i na otoku Krapnju kao i volonteri pomažu pri organizaciji,kao i firme,poduzeća,obrti i ugostitelji s našeg područja.</w:t>
      </w:r>
    </w:p>
    <w:p w14:paraId="36E3B2A4">
      <w:pPr>
        <w:tabs>
          <w:tab w:val="left" w:pos="1905"/>
        </w:tabs>
        <w:rPr>
          <w:rFonts w:ascii="Verdana" w:hAnsi="Verdana"/>
          <w:sz w:val="24"/>
          <w:szCs w:val="24"/>
        </w:rPr>
      </w:pPr>
    </w:p>
    <w:p w14:paraId="486CC5E7">
      <w:pPr>
        <w:tabs>
          <w:tab w:val="left" w:pos="1905"/>
        </w:tabs>
        <w:rPr>
          <w:rFonts w:ascii="Verdana" w:hAnsi="Verdana"/>
          <w:sz w:val="24"/>
          <w:szCs w:val="24"/>
        </w:rPr>
      </w:pPr>
    </w:p>
    <w:p w14:paraId="0A475475">
      <w:pPr>
        <w:tabs>
          <w:tab w:val="left" w:pos="1905"/>
        </w:tabs>
        <w:rPr>
          <w:rFonts w:ascii="Verdana" w:hAnsi="Verdana"/>
          <w:b/>
          <w:sz w:val="24"/>
          <w:szCs w:val="24"/>
        </w:rPr>
      </w:pPr>
      <w:r>
        <w:rPr>
          <w:rFonts w:ascii="Verdana" w:hAnsi="Verdana"/>
          <w:b/>
          <w:sz w:val="24"/>
          <w:szCs w:val="24"/>
        </w:rPr>
        <w:t>3.KOMUNIKACIJA I OGLAŠAVANJE-1</w:t>
      </w:r>
      <w:r>
        <w:rPr>
          <w:rFonts w:hint="default" w:ascii="Verdana" w:hAnsi="Verdana"/>
          <w:b/>
          <w:sz w:val="24"/>
          <w:szCs w:val="24"/>
          <w:lang w:val="hr-HR"/>
        </w:rPr>
        <w:t>3.0</w:t>
      </w:r>
      <w:r>
        <w:rPr>
          <w:rFonts w:ascii="Verdana" w:hAnsi="Verdana"/>
          <w:b/>
          <w:sz w:val="24"/>
          <w:szCs w:val="24"/>
        </w:rPr>
        <w:t>00,00 eura</w:t>
      </w:r>
    </w:p>
    <w:p w14:paraId="412BCD46">
      <w:pPr>
        <w:tabs>
          <w:tab w:val="left" w:pos="1905"/>
        </w:tabs>
        <w:rPr>
          <w:rFonts w:ascii="Verdana" w:hAnsi="Verdana"/>
          <w:sz w:val="24"/>
          <w:szCs w:val="24"/>
        </w:rPr>
      </w:pPr>
    </w:p>
    <w:p w14:paraId="53B12ACB">
      <w:pPr>
        <w:tabs>
          <w:tab w:val="left" w:pos="1905"/>
        </w:tabs>
        <w:rPr>
          <w:rFonts w:ascii="Verdana" w:hAnsi="Verdana"/>
          <w:sz w:val="24"/>
          <w:szCs w:val="24"/>
        </w:rPr>
      </w:pPr>
      <w:r>
        <w:rPr>
          <w:rFonts w:ascii="Verdana" w:hAnsi="Verdana"/>
          <w:sz w:val="24"/>
          <w:szCs w:val="24"/>
        </w:rPr>
        <w:t>3.1. Kreiranje promotivnih materijala</w:t>
      </w:r>
    </w:p>
    <w:p w14:paraId="26D81C83">
      <w:pPr>
        <w:tabs>
          <w:tab w:val="left" w:pos="1905"/>
        </w:tabs>
        <w:rPr>
          <w:rFonts w:ascii="Verdana" w:hAnsi="Verdana"/>
          <w:sz w:val="24"/>
          <w:szCs w:val="24"/>
        </w:rPr>
      </w:pPr>
      <w:r>
        <w:rPr>
          <w:rFonts w:ascii="Verdana" w:hAnsi="Verdana"/>
          <w:sz w:val="24"/>
          <w:szCs w:val="24"/>
        </w:rPr>
        <w:t>Reprint novonapravljenih prospekata po potrebi</w:t>
      </w:r>
    </w:p>
    <w:p w14:paraId="0D8578DD">
      <w:pPr>
        <w:tabs>
          <w:tab w:val="left" w:pos="1905"/>
        </w:tabs>
        <w:rPr>
          <w:rFonts w:ascii="Verdana" w:hAnsi="Verdana"/>
          <w:sz w:val="24"/>
          <w:szCs w:val="24"/>
        </w:rPr>
      </w:pPr>
      <w:r>
        <w:rPr>
          <w:rFonts w:ascii="Verdana" w:hAnsi="Verdana"/>
          <w:sz w:val="24"/>
          <w:szCs w:val="24"/>
        </w:rPr>
        <w:t>Nositelj: TZ Krapanj-Brodarica</w:t>
      </w:r>
    </w:p>
    <w:p w14:paraId="1D19A8AB">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679D1A26">
      <w:pPr>
        <w:tabs>
          <w:tab w:val="left" w:pos="1905"/>
        </w:tabs>
        <w:rPr>
          <w:rFonts w:hint="default" w:ascii="Verdana" w:hAnsi="Verdana"/>
          <w:sz w:val="24"/>
          <w:szCs w:val="24"/>
          <w:lang w:val="hr-HR"/>
        </w:rPr>
      </w:pPr>
      <w:r>
        <w:rPr>
          <w:rFonts w:ascii="Verdana" w:hAnsi="Verdana"/>
          <w:sz w:val="24"/>
          <w:szCs w:val="24"/>
        </w:rPr>
        <w:t>Rok: siječanj-lipanj 202</w:t>
      </w:r>
      <w:r>
        <w:rPr>
          <w:rFonts w:hint="default" w:ascii="Verdana" w:hAnsi="Verdana"/>
          <w:sz w:val="24"/>
          <w:szCs w:val="24"/>
          <w:lang w:val="hr-HR"/>
        </w:rPr>
        <w:t>6.</w:t>
      </w:r>
    </w:p>
    <w:p w14:paraId="194D1EBA">
      <w:pPr>
        <w:tabs>
          <w:tab w:val="left" w:pos="1905"/>
        </w:tabs>
        <w:rPr>
          <w:rFonts w:ascii="Verdana" w:hAnsi="Verdana"/>
          <w:sz w:val="24"/>
          <w:szCs w:val="24"/>
        </w:rPr>
      </w:pPr>
    </w:p>
    <w:p w14:paraId="30D81108">
      <w:pPr>
        <w:tabs>
          <w:tab w:val="left" w:pos="1905"/>
        </w:tabs>
        <w:rPr>
          <w:rFonts w:ascii="Verdana" w:hAnsi="Verdana"/>
          <w:sz w:val="24"/>
          <w:szCs w:val="24"/>
        </w:rPr>
      </w:pPr>
    </w:p>
    <w:p w14:paraId="0264B5C1">
      <w:pPr>
        <w:tabs>
          <w:tab w:val="left" w:pos="1905"/>
        </w:tabs>
        <w:rPr>
          <w:rFonts w:ascii="Verdana" w:hAnsi="Verdana"/>
          <w:sz w:val="24"/>
          <w:szCs w:val="24"/>
        </w:rPr>
      </w:pPr>
      <w:r>
        <w:rPr>
          <w:rFonts w:ascii="Verdana" w:hAnsi="Verdana"/>
          <w:sz w:val="24"/>
          <w:szCs w:val="24"/>
        </w:rPr>
        <w:t>3.1.1. Suveniri i promo materijali</w:t>
      </w:r>
    </w:p>
    <w:p w14:paraId="0D0CFD35">
      <w:pPr>
        <w:tabs>
          <w:tab w:val="left" w:pos="1905"/>
        </w:tabs>
        <w:rPr>
          <w:rFonts w:ascii="Verdana" w:hAnsi="Verdana"/>
          <w:sz w:val="24"/>
          <w:szCs w:val="24"/>
        </w:rPr>
      </w:pPr>
      <w:r>
        <w:rPr>
          <w:rFonts w:ascii="Verdana" w:hAnsi="Verdana"/>
          <w:sz w:val="24"/>
          <w:szCs w:val="24"/>
        </w:rPr>
        <w:t>Izrada promo materijala poput vrećica ,suvenira i sl za promociju mjesta,poklone turistima i poslovnim partnerima,</w:t>
      </w:r>
      <w:r>
        <w:rPr>
          <w:rFonts w:hint="default" w:ascii="Verdana" w:hAnsi="Verdana"/>
          <w:sz w:val="24"/>
          <w:szCs w:val="24"/>
          <w:lang w:val="hr-HR"/>
        </w:rPr>
        <w:t>kartonske</w:t>
      </w:r>
      <w:r>
        <w:rPr>
          <w:rFonts w:ascii="Verdana" w:hAnsi="Verdana"/>
          <w:sz w:val="24"/>
          <w:szCs w:val="24"/>
        </w:rPr>
        <w:t xml:space="preserve"> pepeljare za plaže za očuvanje čistoće okoliša i plaža koje bi se dijelile u uredu</w:t>
      </w:r>
    </w:p>
    <w:p w14:paraId="56E4A071">
      <w:pPr>
        <w:tabs>
          <w:tab w:val="left" w:pos="1905"/>
        </w:tabs>
        <w:rPr>
          <w:rFonts w:ascii="Verdana" w:hAnsi="Verdana"/>
          <w:sz w:val="24"/>
          <w:szCs w:val="24"/>
        </w:rPr>
      </w:pPr>
      <w:r>
        <w:rPr>
          <w:rFonts w:ascii="Verdana" w:hAnsi="Verdana"/>
          <w:sz w:val="24"/>
          <w:szCs w:val="24"/>
        </w:rPr>
        <w:t>Nositelj: TZ Krapanj-Brodarica</w:t>
      </w:r>
    </w:p>
    <w:p w14:paraId="7EFCF283">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1</w:t>
      </w:r>
      <w:r>
        <w:rPr>
          <w:rFonts w:ascii="Verdana" w:hAnsi="Verdana"/>
          <w:sz w:val="24"/>
          <w:szCs w:val="24"/>
        </w:rPr>
        <w:t>.000,00 eura</w:t>
      </w:r>
    </w:p>
    <w:p w14:paraId="551635C3">
      <w:pPr>
        <w:tabs>
          <w:tab w:val="left" w:pos="1905"/>
        </w:tabs>
        <w:rPr>
          <w:rFonts w:ascii="Verdana" w:hAnsi="Verdana"/>
          <w:sz w:val="24"/>
          <w:szCs w:val="24"/>
        </w:rPr>
      </w:pPr>
      <w:r>
        <w:rPr>
          <w:rFonts w:ascii="Verdana" w:hAnsi="Verdana"/>
          <w:sz w:val="24"/>
          <w:szCs w:val="24"/>
        </w:rPr>
        <w:t>Rok: travanj-lipanj 202</w:t>
      </w:r>
      <w:r>
        <w:rPr>
          <w:rFonts w:hint="default" w:ascii="Verdana" w:hAnsi="Verdana"/>
          <w:sz w:val="24"/>
          <w:szCs w:val="24"/>
          <w:lang w:val="hr-HR"/>
        </w:rPr>
        <w:t>6</w:t>
      </w:r>
      <w:r>
        <w:rPr>
          <w:rFonts w:ascii="Verdana" w:hAnsi="Verdana"/>
          <w:sz w:val="24"/>
          <w:szCs w:val="24"/>
        </w:rPr>
        <w:t>.</w:t>
      </w:r>
    </w:p>
    <w:p w14:paraId="3EEFC609">
      <w:pPr>
        <w:tabs>
          <w:tab w:val="left" w:pos="1905"/>
        </w:tabs>
        <w:rPr>
          <w:rFonts w:ascii="Verdana" w:hAnsi="Verdana"/>
          <w:sz w:val="24"/>
          <w:szCs w:val="24"/>
        </w:rPr>
      </w:pPr>
    </w:p>
    <w:p w14:paraId="13F9FBC9">
      <w:pPr>
        <w:tabs>
          <w:tab w:val="left" w:pos="1905"/>
        </w:tabs>
        <w:rPr>
          <w:rFonts w:ascii="Verdana" w:hAnsi="Verdana"/>
          <w:sz w:val="24"/>
          <w:szCs w:val="24"/>
        </w:rPr>
      </w:pPr>
    </w:p>
    <w:p w14:paraId="53E2867A">
      <w:pPr>
        <w:tabs>
          <w:tab w:val="left" w:pos="1905"/>
        </w:tabs>
        <w:rPr>
          <w:rFonts w:hint="default" w:ascii="Verdana" w:hAnsi="Verdana"/>
          <w:sz w:val="24"/>
          <w:szCs w:val="24"/>
          <w:lang w:val="hr-HR"/>
        </w:rPr>
      </w:pPr>
      <w:r>
        <w:rPr>
          <w:rFonts w:ascii="Verdana" w:hAnsi="Verdana"/>
          <w:sz w:val="24"/>
          <w:szCs w:val="24"/>
        </w:rPr>
        <w:t>3.2. Upravljanje internetskim stranicama</w:t>
      </w:r>
      <w:r>
        <w:rPr>
          <w:rFonts w:hint="default" w:ascii="Verdana" w:hAnsi="Verdana"/>
          <w:sz w:val="24"/>
          <w:szCs w:val="24"/>
          <w:lang w:val="hr-HR"/>
        </w:rPr>
        <w:t xml:space="preserve"> i online oglašavanje</w:t>
      </w:r>
    </w:p>
    <w:p w14:paraId="66AE3A69">
      <w:pPr>
        <w:tabs>
          <w:tab w:val="left" w:pos="1905"/>
        </w:tabs>
        <w:rPr>
          <w:rFonts w:hint="default" w:ascii="Verdana" w:hAnsi="Verdana"/>
          <w:sz w:val="24"/>
          <w:szCs w:val="24"/>
          <w:lang w:val="hr-HR"/>
        </w:rPr>
      </w:pPr>
      <w:r>
        <w:rPr>
          <w:rFonts w:ascii="Verdana" w:hAnsi="Verdana"/>
          <w:sz w:val="24"/>
          <w:szCs w:val="24"/>
        </w:rPr>
        <w:t>Internetske stranice su bitne u promociji mjesta,svake godine se informacije nadopunjavaju s važnim sadržajem,kako za iznajmljivače , tako i za turiste. U ovoj godini ćemo nadopuniti stranicu s još kvalitetnog sadržaja</w:t>
      </w:r>
      <w:r>
        <w:rPr>
          <w:rFonts w:hint="default" w:ascii="Verdana" w:hAnsi="Verdana"/>
          <w:sz w:val="24"/>
          <w:szCs w:val="24"/>
          <w:lang w:val="hr-HR"/>
        </w:rPr>
        <w:t>.</w:t>
      </w:r>
    </w:p>
    <w:p w14:paraId="0AF89FE9">
      <w:pPr>
        <w:tabs>
          <w:tab w:val="left" w:pos="1905"/>
        </w:tabs>
        <w:rPr>
          <w:rFonts w:ascii="Verdana" w:hAnsi="Verdana"/>
          <w:sz w:val="24"/>
          <w:szCs w:val="24"/>
        </w:rPr>
      </w:pPr>
      <w:r>
        <w:rPr>
          <w:rFonts w:ascii="Verdana" w:hAnsi="Verdana"/>
          <w:sz w:val="24"/>
          <w:szCs w:val="24"/>
        </w:rPr>
        <w:t>Nositelj: TZ Krapanj-Brodarica</w:t>
      </w:r>
    </w:p>
    <w:p w14:paraId="3ED90DEC">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3.0</w:t>
      </w:r>
      <w:r>
        <w:rPr>
          <w:rFonts w:ascii="Verdana" w:hAnsi="Verdana"/>
          <w:sz w:val="24"/>
          <w:szCs w:val="24"/>
        </w:rPr>
        <w:t>00,00 eura</w:t>
      </w:r>
    </w:p>
    <w:p w14:paraId="22B2AB2C">
      <w:pPr>
        <w:tabs>
          <w:tab w:val="left" w:pos="1905"/>
        </w:tabs>
        <w:rPr>
          <w:rFonts w:ascii="Verdana" w:hAnsi="Verdana"/>
          <w:sz w:val="24"/>
          <w:szCs w:val="24"/>
        </w:rPr>
      </w:pPr>
      <w:r>
        <w:rPr>
          <w:rFonts w:ascii="Verdana" w:hAnsi="Verdana"/>
          <w:sz w:val="24"/>
          <w:szCs w:val="24"/>
        </w:rPr>
        <w:t>Rok: cijelu godinu 202</w:t>
      </w:r>
      <w:r>
        <w:rPr>
          <w:rFonts w:hint="default" w:ascii="Verdana" w:hAnsi="Verdana"/>
          <w:sz w:val="24"/>
          <w:szCs w:val="24"/>
          <w:lang w:val="hr-HR"/>
        </w:rPr>
        <w:t>6</w:t>
      </w:r>
      <w:r>
        <w:rPr>
          <w:rFonts w:ascii="Verdana" w:hAnsi="Verdana"/>
          <w:sz w:val="24"/>
          <w:szCs w:val="24"/>
        </w:rPr>
        <w:t>.</w:t>
      </w:r>
    </w:p>
    <w:p w14:paraId="2811D319">
      <w:pPr>
        <w:tabs>
          <w:tab w:val="left" w:pos="1905"/>
        </w:tabs>
        <w:rPr>
          <w:rFonts w:ascii="Verdana" w:hAnsi="Verdana"/>
          <w:sz w:val="24"/>
          <w:szCs w:val="24"/>
        </w:rPr>
      </w:pPr>
    </w:p>
    <w:p w14:paraId="3DD6C236">
      <w:pPr>
        <w:tabs>
          <w:tab w:val="left" w:pos="1905"/>
        </w:tabs>
        <w:rPr>
          <w:rFonts w:ascii="Verdana" w:hAnsi="Verdana"/>
          <w:sz w:val="24"/>
          <w:szCs w:val="24"/>
        </w:rPr>
      </w:pPr>
      <w:r>
        <w:rPr>
          <w:rFonts w:ascii="Verdana" w:hAnsi="Verdana"/>
          <w:sz w:val="24"/>
          <w:szCs w:val="24"/>
        </w:rPr>
        <w:t>3.3. Upravljanje društvenim mrežama</w:t>
      </w:r>
    </w:p>
    <w:p w14:paraId="2F94A501">
      <w:pPr>
        <w:tabs>
          <w:tab w:val="left" w:pos="1905"/>
        </w:tabs>
        <w:rPr>
          <w:rFonts w:ascii="Verdana" w:hAnsi="Verdana"/>
          <w:sz w:val="24"/>
          <w:szCs w:val="24"/>
        </w:rPr>
      </w:pPr>
      <w:r>
        <w:rPr>
          <w:rFonts w:ascii="Verdana" w:hAnsi="Verdana"/>
          <w:sz w:val="24"/>
          <w:szCs w:val="24"/>
        </w:rPr>
        <w:t xml:space="preserve">Društvene mreže  su iznimno važne u današnjem turizmu i na najbrži način informacija dođe do velikog broja korisnika. I ujedno je i najpovoljniji način marketinga. Potrebno je često i ažurno stavljati sve potrebne informacije,slike,događanja,zanimljivosti i na taj način približiti destinaciju korisnicima. Uz postojeću facebook stranicu planiramo napraviti i instagram stranicu u ovoj godini. </w:t>
      </w:r>
    </w:p>
    <w:p w14:paraId="0E35F768">
      <w:pPr>
        <w:tabs>
          <w:tab w:val="left" w:pos="1905"/>
        </w:tabs>
        <w:rPr>
          <w:rFonts w:ascii="Verdana" w:hAnsi="Verdana"/>
          <w:sz w:val="24"/>
          <w:szCs w:val="24"/>
        </w:rPr>
      </w:pPr>
      <w:r>
        <w:rPr>
          <w:rFonts w:ascii="Verdana" w:hAnsi="Verdana"/>
          <w:sz w:val="24"/>
          <w:szCs w:val="24"/>
        </w:rPr>
        <w:t>Nositelj: TZ Krapanj-Brodarica</w:t>
      </w:r>
    </w:p>
    <w:p w14:paraId="163FAC2B">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1</w:t>
      </w:r>
      <w:r>
        <w:rPr>
          <w:rFonts w:ascii="Verdana" w:hAnsi="Verdana"/>
          <w:sz w:val="24"/>
          <w:szCs w:val="24"/>
        </w:rPr>
        <w:t>.000,00 eura</w:t>
      </w:r>
    </w:p>
    <w:p w14:paraId="6E9A3BCF">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1A1C303A">
      <w:pPr>
        <w:tabs>
          <w:tab w:val="left" w:pos="1905"/>
        </w:tabs>
        <w:rPr>
          <w:rFonts w:ascii="Verdana" w:hAnsi="Verdana"/>
          <w:sz w:val="24"/>
          <w:szCs w:val="24"/>
        </w:rPr>
      </w:pPr>
    </w:p>
    <w:p w14:paraId="1A6B9861">
      <w:pPr>
        <w:tabs>
          <w:tab w:val="left" w:pos="1905"/>
        </w:tabs>
        <w:rPr>
          <w:rFonts w:ascii="Verdana" w:hAnsi="Verdana"/>
          <w:sz w:val="24"/>
          <w:szCs w:val="24"/>
        </w:rPr>
      </w:pPr>
    </w:p>
    <w:p w14:paraId="0006C73A">
      <w:pPr>
        <w:tabs>
          <w:tab w:val="left" w:pos="1905"/>
        </w:tabs>
        <w:rPr>
          <w:rFonts w:ascii="Verdana" w:hAnsi="Verdana"/>
          <w:sz w:val="24"/>
          <w:szCs w:val="24"/>
        </w:rPr>
      </w:pPr>
      <w:r>
        <w:rPr>
          <w:rFonts w:ascii="Verdana" w:hAnsi="Verdana"/>
          <w:sz w:val="24"/>
          <w:szCs w:val="24"/>
        </w:rPr>
        <w:t>3.4. Turistička signalizacija</w:t>
      </w:r>
    </w:p>
    <w:p w14:paraId="0A2F633A">
      <w:pPr>
        <w:tabs>
          <w:tab w:val="left" w:pos="1905"/>
        </w:tabs>
        <w:rPr>
          <w:rFonts w:ascii="Verdana" w:hAnsi="Verdana"/>
          <w:sz w:val="24"/>
          <w:szCs w:val="24"/>
        </w:rPr>
      </w:pPr>
      <w:r>
        <w:rPr>
          <w:rFonts w:ascii="Verdana" w:hAnsi="Verdana"/>
          <w:sz w:val="24"/>
          <w:szCs w:val="24"/>
        </w:rPr>
        <w:t>U 202</w:t>
      </w:r>
      <w:r>
        <w:rPr>
          <w:rFonts w:hint="default" w:ascii="Verdana" w:hAnsi="Verdana"/>
          <w:sz w:val="24"/>
          <w:szCs w:val="24"/>
          <w:lang w:val="hr-HR"/>
        </w:rPr>
        <w:t>6</w:t>
      </w:r>
      <w:r>
        <w:rPr>
          <w:rFonts w:ascii="Verdana" w:hAnsi="Verdana"/>
          <w:sz w:val="24"/>
          <w:szCs w:val="24"/>
        </w:rPr>
        <w:t xml:space="preserve">. </w:t>
      </w:r>
      <w:r>
        <w:rPr>
          <w:rFonts w:hint="default" w:ascii="Verdana" w:hAnsi="Verdana"/>
          <w:sz w:val="24"/>
          <w:szCs w:val="24"/>
          <w:lang w:val="hr-HR"/>
        </w:rPr>
        <w:t>g</w:t>
      </w:r>
      <w:r>
        <w:rPr>
          <w:rFonts w:ascii="Verdana" w:hAnsi="Verdana"/>
          <w:sz w:val="24"/>
          <w:szCs w:val="24"/>
        </w:rPr>
        <w:t>odini ćemo po potrebi postavljati turističku signalizaciju,jumbo plakat, prirodnih i kulturnih znamenitosti i ostalih potrebnih oznaka kako bi se posjetiteljima bilo lakše snaći i kako bi se lakše orijentirali.Postavit će se nove mape mjesta te nove welcome table</w:t>
      </w:r>
    </w:p>
    <w:p w14:paraId="59594733">
      <w:pPr>
        <w:tabs>
          <w:tab w:val="left" w:pos="1905"/>
        </w:tabs>
        <w:rPr>
          <w:rFonts w:ascii="Verdana" w:hAnsi="Verdana"/>
          <w:sz w:val="24"/>
          <w:szCs w:val="24"/>
        </w:rPr>
      </w:pPr>
      <w:r>
        <w:rPr>
          <w:rFonts w:ascii="Verdana" w:hAnsi="Verdana"/>
          <w:sz w:val="24"/>
          <w:szCs w:val="24"/>
        </w:rPr>
        <w:t>Nositelj: TZ Krapanj-Brodarica</w:t>
      </w:r>
    </w:p>
    <w:p w14:paraId="798E60F4">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4200DCDA">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7B1DA74E">
      <w:pPr>
        <w:tabs>
          <w:tab w:val="left" w:pos="1905"/>
        </w:tabs>
        <w:rPr>
          <w:rFonts w:ascii="Verdana" w:hAnsi="Verdana"/>
          <w:sz w:val="24"/>
          <w:szCs w:val="24"/>
        </w:rPr>
      </w:pPr>
    </w:p>
    <w:p w14:paraId="1436BCA7">
      <w:pPr>
        <w:tabs>
          <w:tab w:val="left" w:pos="1905"/>
        </w:tabs>
        <w:rPr>
          <w:rFonts w:ascii="Verdana" w:hAnsi="Verdana"/>
          <w:sz w:val="24"/>
          <w:szCs w:val="24"/>
        </w:rPr>
      </w:pPr>
    </w:p>
    <w:p w14:paraId="447CF5A6">
      <w:pPr>
        <w:tabs>
          <w:tab w:val="left" w:pos="1905"/>
        </w:tabs>
        <w:rPr>
          <w:rFonts w:ascii="Verdana" w:hAnsi="Verdana"/>
          <w:sz w:val="24"/>
          <w:szCs w:val="24"/>
        </w:rPr>
      </w:pPr>
    </w:p>
    <w:p w14:paraId="26254AEC">
      <w:pPr>
        <w:tabs>
          <w:tab w:val="left" w:pos="1905"/>
        </w:tabs>
        <w:rPr>
          <w:rFonts w:ascii="Verdana" w:hAnsi="Verdana"/>
          <w:sz w:val="24"/>
          <w:szCs w:val="24"/>
        </w:rPr>
      </w:pPr>
    </w:p>
    <w:p w14:paraId="7D0DACCF">
      <w:pPr>
        <w:tabs>
          <w:tab w:val="left" w:pos="1905"/>
        </w:tabs>
        <w:rPr>
          <w:rFonts w:ascii="Verdana" w:hAnsi="Verdana"/>
          <w:sz w:val="24"/>
          <w:szCs w:val="24"/>
        </w:rPr>
      </w:pPr>
    </w:p>
    <w:p w14:paraId="61AA7845">
      <w:pPr>
        <w:tabs>
          <w:tab w:val="left" w:pos="1905"/>
        </w:tabs>
        <w:rPr>
          <w:rFonts w:ascii="Verdana" w:hAnsi="Verdana"/>
          <w:sz w:val="24"/>
          <w:szCs w:val="24"/>
        </w:rPr>
      </w:pPr>
      <w:r>
        <w:rPr>
          <w:rFonts w:ascii="Verdana" w:hAnsi="Verdana"/>
          <w:sz w:val="24"/>
          <w:szCs w:val="24"/>
        </w:rPr>
        <w:t>3.5. Udruženo oglašavanje</w:t>
      </w:r>
    </w:p>
    <w:p w14:paraId="0C6FFDDD">
      <w:pPr>
        <w:tabs>
          <w:tab w:val="left" w:pos="1905"/>
        </w:tabs>
        <w:rPr>
          <w:rFonts w:ascii="Verdana" w:hAnsi="Verdana"/>
          <w:sz w:val="24"/>
          <w:szCs w:val="24"/>
        </w:rPr>
      </w:pPr>
      <w:r>
        <w:rPr>
          <w:rFonts w:ascii="Verdana" w:hAnsi="Verdana"/>
          <w:sz w:val="24"/>
          <w:szCs w:val="24"/>
        </w:rPr>
        <w:t>Plan je sudjelovati u udruženom oglašavanju zajedno s TZ županije i s ostalim dionicima kroz digitalne kanale,a tim putem bi najbolje predstavili županiju kao destinaciju sa svim njenim prirodnim i kulturnim vrijednostima. Kampanja bi se provodila na najznačajnijim emitivnim tržištima.</w:t>
      </w:r>
    </w:p>
    <w:p w14:paraId="45170B8D">
      <w:pPr>
        <w:tabs>
          <w:tab w:val="left" w:pos="1905"/>
        </w:tabs>
        <w:rPr>
          <w:rFonts w:ascii="Verdana" w:hAnsi="Verdana"/>
          <w:sz w:val="24"/>
          <w:szCs w:val="24"/>
        </w:rPr>
      </w:pPr>
      <w:r>
        <w:rPr>
          <w:rFonts w:ascii="Verdana" w:hAnsi="Verdana"/>
          <w:sz w:val="24"/>
          <w:szCs w:val="24"/>
        </w:rPr>
        <w:t>Nositelj: TZ županije Šibensko-kninske i ostali dionici i TZ Krapanj-Brodarica</w:t>
      </w:r>
    </w:p>
    <w:p w14:paraId="2670FC52">
      <w:pPr>
        <w:tabs>
          <w:tab w:val="left" w:pos="1905"/>
        </w:tabs>
        <w:rPr>
          <w:rFonts w:ascii="Verdana" w:hAnsi="Verdana"/>
          <w:sz w:val="24"/>
          <w:szCs w:val="24"/>
        </w:rPr>
      </w:pPr>
      <w:r>
        <w:rPr>
          <w:rFonts w:ascii="Verdana" w:hAnsi="Verdana"/>
          <w:sz w:val="24"/>
          <w:szCs w:val="24"/>
        </w:rPr>
        <w:t>Iznos: 2.000,00 eura</w:t>
      </w:r>
    </w:p>
    <w:p w14:paraId="54946638">
      <w:pPr>
        <w:tabs>
          <w:tab w:val="left" w:pos="1905"/>
        </w:tabs>
        <w:rPr>
          <w:rFonts w:ascii="Verdana" w:hAnsi="Verdana"/>
          <w:sz w:val="24"/>
          <w:szCs w:val="24"/>
        </w:rPr>
      </w:pPr>
      <w:r>
        <w:rPr>
          <w:rFonts w:ascii="Verdana" w:hAnsi="Verdana"/>
          <w:sz w:val="24"/>
          <w:szCs w:val="24"/>
        </w:rPr>
        <w:t>Rok: tijekom 202</w:t>
      </w:r>
      <w:r>
        <w:rPr>
          <w:rFonts w:hint="default" w:ascii="Verdana" w:hAnsi="Verdana"/>
          <w:sz w:val="24"/>
          <w:szCs w:val="24"/>
          <w:lang w:val="hr-HR"/>
        </w:rPr>
        <w:t>6</w:t>
      </w:r>
      <w:r>
        <w:rPr>
          <w:rFonts w:ascii="Verdana" w:hAnsi="Verdana"/>
          <w:sz w:val="24"/>
          <w:szCs w:val="24"/>
        </w:rPr>
        <w:t>.</w:t>
      </w:r>
    </w:p>
    <w:p w14:paraId="70C519C1">
      <w:pPr>
        <w:tabs>
          <w:tab w:val="left" w:pos="1905"/>
        </w:tabs>
        <w:rPr>
          <w:rFonts w:ascii="Verdana" w:hAnsi="Verdana"/>
          <w:sz w:val="24"/>
          <w:szCs w:val="24"/>
        </w:rPr>
      </w:pPr>
    </w:p>
    <w:p w14:paraId="620595B1">
      <w:pPr>
        <w:tabs>
          <w:tab w:val="left" w:pos="1905"/>
        </w:tabs>
        <w:rPr>
          <w:rFonts w:ascii="Verdana" w:hAnsi="Verdana"/>
          <w:sz w:val="24"/>
          <w:szCs w:val="24"/>
        </w:rPr>
      </w:pPr>
    </w:p>
    <w:p w14:paraId="478CA8CE">
      <w:pPr>
        <w:tabs>
          <w:tab w:val="left" w:pos="1905"/>
        </w:tabs>
        <w:rPr>
          <w:rFonts w:ascii="Verdana" w:hAnsi="Verdana"/>
          <w:b/>
          <w:sz w:val="24"/>
          <w:szCs w:val="24"/>
        </w:rPr>
      </w:pPr>
      <w:r>
        <w:rPr>
          <w:rFonts w:ascii="Verdana" w:hAnsi="Verdana"/>
          <w:b/>
          <w:sz w:val="24"/>
          <w:szCs w:val="24"/>
        </w:rPr>
        <w:t xml:space="preserve">4.DESTINACIJSKI MENADŽMENT- </w:t>
      </w:r>
      <w:r>
        <w:rPr>
          <w:rFonts w:hint="default" w:ascii="Verdana" w:hAnsi="Verdana"/>
          <w:b/>
          <w:sz w:val="24"/>
          <w:szCs w:val="24"/>
          <w:lang w:val="hr-HR"/>
        </w:rPr>
        <w:t>12</w:t>
      </w:r>
      <w:r>
        <w:rPr>
          <w:rFonts w:ascii="Verdana" w:hAnsi="Verdana"/>
          <w:b/>
          <w:sz w:val="24"/>
          <w:szCs w:val="24"/>
        </w:rPr>
        <w:t>.000,00 eura</w:t>
      </w:r>
    </w:p>
    <w:p w14:paraId="5DC73C18">
      <w:pPr>
        <w:tabs>
          <w:tab w:val="left" w:pos="1905"/>
        </w:tabs>
        <w:rPr>
          <w:rFonts w:ascii="Verdana" w:hAnsi="Verdana"/>
          <w:b/>
          <w:sz w:val="24"/>
          <w:szCs w:val="24"/>
        </w:rPr>
      </w:pPr>
    </w:p>
    <w:p w14:paraId="3E1A9081">
      <w:pPr>
        <w:tabs>
          <w:tab w:val="left" w:pos="1905"/>
        </w:tabs>
        <w:rPr>
          <w:rFonts w:ascii="Verdana" w:hAnsi="Verdana"/>
          <w:sz w:val="24"/>
          <w:szCs w:val="24"/>
        </w:rPr>
      </w:pPr>
      <w:r>
        <w:rPr>
          <w:rFonts w:ascii="Verdana" w:hAnsi="Verdana"/>
          <w:sz w:val="24"/>
          <w:szCs w:val="24"/>
        </w:rPr>
        <w:t>4.1. Turistički informacijski sustavi i aplikacije /E visitor</w:t>
      </w:r>
    </w:p>
    <w:p w14:paraId="7C21CE2D">
      <w:pPr>
        <w:tabs>
          <w:tab w:val="left" w:pos="1905"/>
        </w:tabs>
        <w:rPr>
          <w:rFonts w:ascii="Verdana" w:hAnsi="Verdana"/>
          <w:sz w:val="24"/>
          <w:szCs w:val="24"/>
        </w:rPr>
      </w:pPr>
      <w:r>
        <w:rPr>
          <w:rFonts w:ascii="Verdana" w:hAnsi="Verdana"/>
          <w:sz w:val="24"/>
          <w:szCs w:val="24"/>
        </w:rPr>
        <w:t>Sudjelovanje u razvoju i upravljanju sustavom  E visitor kao i ostalim informacijskim sustavima sukladno uputama HTZ-a ,kao što su: jedinstveni turistički informacijski portal te evidencija svih oblika turističke ponude/atrakcija na području županije /regije. Cilj je što kvalitetniji sustav za sve korisnike.</w:t>
      </w:r>
    </w:p>
    <w:p w14:paraId="5FB291A7">
      <w:pPr>
        <w:tabs>
          <w:tab w:val="left" w:pos="1905"/>
        </w:tabs>
        <w:rPr>
          <w:rFonts w:ascii="Verdana" w:hAnsi="Verdana"/>
          <w:sz w:val="24"/>
          <w:szCs w:val="24"/>
        </w:rPr>
      </w:pPr>
      <w:r>
        <w:rPr>
          <w:rFonts w:ascii="Verdana" w:hAnsi="Verdana"/>
          <w:sz w:val="24"/>
          <w:szCs w:val="24"/>
        </w:rPr>
        <w:t>Nositelj: HTZ,regionalna TZŽ Šibensko-kninske,TZ Krapanj-Brodarica</w:t>
      </w:r>
    </w:p>
    <w:p w14:paraId="4383ED56">
      <w:pPr>
        <w:tabs>
          <w:tab w:val="left" w:pos="1905"/>
        </w:tabs>
        <w:rPr>
          <w:rFonts w:ascii="Verdana" w:hAnsi="Verdana"/>
          <w:sz w:val="24"/>
          <w:szCs w:val="24"/>
        </w:rPr>
      </w:pPr>
      <w:r>
        <w:rPr>
          <w:rFonts w:ascii="Verdana" w:hAnsi="Verdana"/>
          <w:sz w:val="24"/>
          <w:szCs w:val="24"/>
        </w:rPr>
        <w:t>Iznos: 0,00 kn</w:t>
      </w:r>
    </w:p>
    <w:p w14:paraId="68C7750E">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697DCFB5">
      <w:pPr>
        <w:tabs>
          <w:tab w:val="left" w:pos="1905"/>
        </w:tabs>
        <w:rPr>
          <w:rFonts w:ascii="Verdana" w:hAnsi="Verdana"/>
          <w:sz w:val="24"/>
          <w:szCs w:val="24"/>
        </w:rPr>
      </w:pPr>
    </w:p>
    <w:p w14:paraId="6D9D79D2">
      <w:pPr>
        <w:tabs>
          <w:tab w:val="left" w:pos="1905"/>
        </w:tabs>
        <w:rPr>
          <w:rFonts w:ascii="Verdana" w:hAnsi="Verdana"/>
          <w:sz w:val="24"/>
          <w:szCs w:val="24"/>
        </w:rPr>
      </w:pPr>
    </w:p>
    <w:p w14:paraId="4A446635">
      <w:pPr>
        <w:pStyle w:val="9"/>
        <w:tabs>
          <w:tab w:val="left" w:pos="1905"/>
        </w:tabs>
        <w:ind w:left="0"/>
        <w:jc w:val="both"/>
        <w:rPr>
          <w:rFonts w:ascii="Verdana" w:hAnsi="Verdana"/>
          <w:sz w:val="24"/>
          <w:szCs w:val="24"/>
        </w:rPr>
      </w:pPr>
      <w:r>
        <w:rPr>
          <w:rFonts w:ascii="Verdana" w:hAnsi="Verdana"/>
          <w:sz w:val="24"/>
          <w:szCs w:val="24"/>
        </w:rPr>
        <w:t>4.2. Sudjelovanje u razvoju sustava poslovne inteligencije</w:t>
      </w:r>
    </w:p>
    <w:p w14:paraId="0C02DB81">
      <w:pPr>
        <w:pStyle w:val="9"/>
        <w:tabs>
          <w:tab w:val="left" w:pos="1905"/>
        </w:tabs>
        <w:ind w:left="1080"/>
        <w:rPr>
          <w:rFonts w:ascii="Verdana" w:hAnsi="Verdana"/>
          <w:sz w:val="24"/>
          <w:szCs w:val="24"/>
        </w:rPr>
      </w:pPr>
    </w:p>
    <w:p w14:paraId="79F3285F">
      <w:pPr>
        <w:pStyle w:val="9"/>
        <w:tabs>
          <w:tab w:val="left" w:pos="1905"/>
        </w:tabs>
        <w:ind w:left="0"/>
        <w:rPr>
          <w:rFonts w:ascii="Verdana" w:hAnsi="Verdana"/>
          <w:sz w:val="24"/>
          <w:szCs w:val="24"/>
        </w:rPr>
      </w:pPr>
      <w:r>
        <w:rPr>
          <w:rFonts w:ascii="Verdana" w:hAnsi="Verdana"/>
          <w:sz w:val="24"/>
          <w:szCs w:val="24"/>
        </w:rPr>
        <w:t>Sudjelovanje s regionalnom TZŽ Šibensko-kninske i HTZ-om na uspostavljanju sustava poslovne inteligencije temeljene na informatičkim tehnologijama (Baze podataka, B2B portal,sistematizacija istraživanja,infografike)</w:t>
      </w:r>
    </w:p>
    <w:p w14:paraId="22637CFF">
      <w:pPr>
        <w:pStyle w:val="9"/>
        <w:tabs>
          <w:tab w:val="left" w:pos="1905"/>
        </w:tabs>
        <w:ind w:left="0"/>
        <w:rPr>
          <w:rFonts w:ascii="Verdana" w:hAnsi="Verdana"/>
          <w:sz w:val="24"/>
          <w:szCs w:val="24"/>
        </w:rPr>
      </w:pPr>
    </w:p>
    <w:p w14:paraId="35CD833C">
      <w:pPr>
        <w:pStyle w:val="9"/>
        <w:tabs>
          <w:tab w:val="left" w:pos="1905"/>
        </w:tabs>
        <w:ind w:left="0"/>
        <w:rPr>
          <w:rFonts w:ascii="Verdana" w:hAnsi="Verdana"/>
          <w:sz w:val="24"/>
          <w:szCs w:val="24"/>
        </w:rPr>
      </w:pPr>
      <w:r>
        <w:rPr>
          <w:rFonts w:ascii="Verdana" w:hAnsi="Verdana"/>
          <w:sz w:val="24"/>
          <w:szCs w:val="24"/>
        </w:rPr>
        <w:t>Nositelj: HTZ,regionalna TZŽ Šibensko-kninske i TZ Krapanj-Brodarica</w:t>
      </w:r>
    </w:p>
    <w:p w14:paraId="2A5AD1E9">
      <w:pPr>
        <w:pStyle w:val="9"/>
        <w:tabs>
          <w:tab w:val="left" w:pos="1905"/>
        </w:tabs>
        <w:ind w:left="0"/>
        <w:rPr>
          <w:rFonts w:ascii="Verdana" w:hAnsi="Verdana"/>
          <w:sz w:val="24"/>
          <w:szCs w:val="24"/>
        </w:rPr>
      </w:pPr>
    </w:p>
    <w:p w14:paraId="7F1EC4AE">
      <w:pPr>
        <w:pStyle w:val="9"/>
        <w:tabs>
          <w:tab w:val="left" w:pos="1905"/>
        </w:tabs>
        <w:ind w:left="0"/>
        <w:rPr>
          <w:rFonts w:ascii="Verdana" w:hAnsi="Verdana"/>
          <w:sz w:val="24"/>
          <w:szCs w:val="24"/>
        </w:rPr>
      </w:pPr>
      <w:r>
        <w:rPr>
          <w:rFonts w:ascii="Verdana" w:hAnsi="Verdana"/>
          <w:sz w:val="24"/>
          <w:szCs w:val="24"/>
        </w:rPr>
        <w:t>Iznos: 0,00 kn</w:t>
      </w:r>
    </w:p>
    <w:p w14:paraId="7BB738FA">
      <w:pPr>
        <w:pStyle w:val="9"/>
        <w:tabs>
          <w:tab w:val="left" w:pos="1905"/>
        </w:tabs>
        <w:ind w:left="0"/>
        <w:rPr>
          <w:rFonts w:ascii="Verdana" w:hAnsi="Verdana"/>
          <w:sz w:val="24"/>
          <w:szCs w:val="24"/>
        </w:rPr>
      </w:pPr>
    </w:p>
    <w:p w14:paraId="62B59B0D">
      <w:pPr>
        <w:pStyle w:val="9"/>
        <w:tabs>
          <w:tab w:val="left" w:pos="1905"/>
        </w:tabs>
        <w:ind w:left="0"/>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23C00EC1">
      <w:pPr>
        <w:pStyle w:val="9"/>
        <w:tabs>
          <w:tab w:val="left" w:pos="1905"/>
        </w:tabs>
        <w:ind w:left="0"/>
        <w:rPr>
          <w:rFonts w:ascii="Verdana" w:hAnsi="Verdana"/>
          <w:sz w:val="24"/>
          <w:szCs w:val="24"/>
        </w:rPr>
      </w:pPr>
    </w:p>
    <w:p w14:paraId="628F5E23">
      <w:pPr>
        <w:pStyle w:val="9"/>
        <w:tabs>
          <w:tab w:val="left" w:pos="1905"/>
        </w:tabs>
        <w:ind w:left="0"/>
        <w:rPr>
          <w:rFonts w:ascii="Verdana" w:hAnsi="Verdana"/>
          <w:sz w:val="24"/>
          <w:szCs w:val="24"/>
        </w:rPr>
      </w:pPr>
    </w:p>
    <w:p w14:paraId="53EC631E">
      <w:pPr>
        <w:pStyle w:val="9"/>
        <w:tabs>
          <w:tab w:val="left" w:pos="1905"/>
        </w:tabs>
        <w:ind w:left="0"/>
        <w:rPr>
          <w:rFonts w:ascii="Verdana" w:hAnsi="Verdana"/>
          <w:sz w:val="24"/>
          <w:szCs w:val="24"/>
        </w:rPr>
      </w:pPr>
    </w:p>
    <w:p w14:paraId="0F939C33">
      <w:pPr>
        <w:pStyle w:val="9"/>
        <w:tabs>
          <w:tab w:val="left" w:pos="1905"/>
        </w:tabs>
        <w:ind w:left="0"/>
        <w:rPr>
          <w:rFonts w:ascii="Verdana" w:hAnsi="Verdana"/>
          <w:sz w:val="24"/>
          <w:szCs w:val="24"/>
        </w:rPr>
      </w:pPr>
    </w:p>
    <w:p w14:paraId="470A36A4">
      <w:pPr>
        <w:pStyle w:val="9"/>
        <w:tabs>
          <w:tab w:val="left" w:pos="1905"/>
        </w:tabs>
        <w:ind w:left="0"/>
        <w:rPr>
          <w:rFonts w:ascii="Verdana" w:hAnsi="Verdana"/>
          <w:sz w:val="24"/>
          <w:szCs w:val="24"/>
        </w:rPr>
      </w:pPr>
      <w:r>
        <w:rPr>
          <w:rFonts w:ascii="Verdana" w:hAnsi="Verdana"/>
          <w:sz w:val="24"/>
          <w:szCs w:val="24"/>
        </w:rPr>
        <w:t>4.3. Poticanje na uređenje i očuvanje okoliša</w:t>
      </w:r>
    </w:p>
    <w:p w14:paraId="7268F8F5">
      <w:pPr>
        <w:pStyle w:val="9"/>
        <w:tabs>
          <w:tab w:val="left" w:pos="1905"/>
        </w:tabs>
        <w:ind w:left="0"/>
        <w:rPr>
          <w:rFonts w:ascii="Verdana" w:hAnsi="Verdana"/>
          <w:sz w:val="24"/>
          <w:szCs w:val="24"/>
        </w:rPr>
      </w:pPr>
    </w:p>
    <w:p w14:paraId="49A79660">
      <w:pPr>
        <w:pStyle w:val="9"/>
        <w:tabs>
          <w:tab w:val="left" w:pos="1905"/>
        </w:tabs>
        <w:ind w:left="0"/>
        <w:rPr>
          <w:rFonts w:ascii="Verdana" w:hAnsi="Verdana"/>
          <w:sz w:val="24"/>
          <w:szCs w:val="24"/>
        </w:rPr>
      </w:pPr>
      <w:r>
        <w:rPr>
          <w:rFonts w:ascii="Verdana" w:hAnsi="Verdana"/>
          <w:sz w:val="24"/>
          <w:szCs w:val="24"/>
        </w:rPr>
        <w:t>4.3.1. Upotpunjavanje sadržaja na plažama</w:t>
      </w:r>
    </w:p>
    <w:p w14:paraId="1FB856CA">
      <w:pPr>
        <w:pStyle w:val="9"/>
        <w:tabs>
          <w:tab w:val="left" w:pos="1905"/>
        </w:tabs>
        <w:ind w:left="0"/>
        <w:rPr>
          <w:rFonts w:ascii="Verdana" w:hAnsi="Verdana"/>
          <w:sz w:val="24"/>
          <w:szCs w:val="24"/>
        </w:rPr>
      </w:pPr>
      <w:r>
        <w:rPr>
          <w:rFonts w:ascii="Verdana" w:hAnsi="Verdana"/>
          <w:sz w:val="24"/>
          <w:szCs w:val="24"/>
        </w:rPr>
        <w:t xml:space="preserve"> </w:t>
      </w:r>
    </w:p>
    <w:p w14:paraId="275C0127">
      <w:pPr>
        <w:pStyle w:val="9"/>
        <w:tabs>
          <w:tab w:val="left" w:pos="1905"/>
        </w:tabs>
        <w:ind w:left="0"/>
        <w:rPr>
          <w:rFonts w:hint="default" w:ascii="Verdana" w:hAnsi="Verdana"/>
          <w:sz w:val="24"/>
          <w:szCs w:val="24"/>
          <w:lang w:val="hr-HR"/>
        </w:rPr>
      </w:pPr>
      <w:r>
        <w:rPr>
          <w:rFonts w:ascii="Verdana" w:hAnsi="Verdana"/>
          <w:sz w:val="24"/>
          <w:szCs w:val="24"/>
        </w:rPr>
        <w:t>Tijekom 202</w:t>
      </w:r>
      <w:r>
        <w:rPr>
          <w:rFonts w:hint="default" w:ascii="Verdana" w:hAnsi="Verdana"/>
          <w:sz w:val="24"/>
          <w:szCs w:val="24"/>
          <w:lang w:val="hr-HR"/>
        </w:rPr>
        <w:t>6</w:t>
      </w:r>
      <w:r>
        <w:rPr>
          <w:rFonts w:ascii="Verdana" w:hAnsi="Verdana"/>
          <w:sz w:val="24"/>
          <w:szCs w:val="24"/>
        </w:rPr>
        <w:t xml:space="preserve">. godine planiramo u svrhu poboljšanja uvjeta boravka turista i uređenja mjesta urediti zelene površine,saditi cvijeće,postavljanje </w:t>
      </w:r>
      <w:r>
        <w:rPr>
          <w:rFonts w:hint="default" w:ascii="Verdana" w:hAnsi="Verdana"/>
          <w:sz w:val="24"/>
          <w:szCs w:val="24"/>
          <w:lang w:val="hr-HR"/>
        </w:rPr>
        <w:t>novih klupa u suradnji s gradom</w:t>
      </w:r>
      <w:r>
        <w:rPr>
          <w:rFonts w:ascii="Verdana" w:hAnsi="Verdana"/>
          <w:sz w:val="24"/>
          <w:szCs w:val="24"/>
        </w:rPr>
        <w:t xml:space="preserve">,sitni zahvati u opremanju plaža  po potrebi,akcije čišćenja mjesta Brodarica i otoka Krapnja u suradnji s udrugama i volonterima tijekom cijele sezone. Troškovi su sitni radni materijal,sadnice,hrana i piće za sudionike,potrebne sitnice za uređenje. </w:t>
      </w:r>
      <w:r>
        <w:rPr>
          <w:rFonts w:hint="default" w:ascii="Verdana" w:hAnsi="Verdana"/>
          <w:sz w:val="24"/>
          <w:szCs w:val="24"/>
          <w:lang w:val="hr-HR"/>
        </w:rPr>
        <w:t>Postavljanje photo pointa,ukrasne ljulje na plažina 3 lokacije kako bi upotpunili ponudu mjesta.</w:t>
      </w:r>
    </w:p>
    <w:p w14:paraId="19B6FDF9">
      <w:pPr>
        <w:pStyle w:val="9"/>
        <w:tabs>
          <w:tab w:val="left" w:pos="1905"/>
        </w:tabs>
        <w:ind w:left="0"/>
        <w:rPr>
          <w:rFonts w:ascii="Verdana" w:hAnsi="Verdana"/>
          <w:sz w:val="24"/>
          <w:szCs w:val="24"/>
        </w:rPr>
      </w:pPr>
    </w:p>
    <w:p w14:paraId="03455AB8">
      <w:pPr>
        <w:pStyle w:val="9"/>
        <w:tabs>
          <w:tab w:val="left" w:pos="1905"/>
        </w:tabs>
        <w:ind w:left="0"/>
        <w:rPr>
          <w:rFonts w:ascii="Verdana" w:hAnsi="Verdana"/>
          <w:sz w:val="24"/>
          <w:szCs w:val="24"/>
        </w:rPr>
      </w:pPr>
    </w:p>
    <w:p w14:paraId="52BA9BD6">
      <w:pPr>
        <w:pStyle w:val="9"/>
        <w:tabs>
          <w:tab w:val="left" w:pos="1905"/>
        </w:tabs>
        <w:ind w:left="0"/>
        <w:rPr>
          <w:rFonts w:ascii="Verdana" w:hAnsi="Verdana"/>
          <w:sz w:val="24"/>
          <w:szCs w:val="24"/>
        </w:rPr>
      </w:pPr>
      <w:r>
        <w:rPr>
          <w:rFonts w:ascii="Verdana" w:hAnsi="Verdana"/>
          <w:sz w:val="24"/>
          <w:szCs w:val="24"/>
        </w:rPr>
        <w:t>Nositelj: TZ Krapanj-Brodarica</w:t>
      </w:r>
    </w:p>
    <w:p w14:paraId="0AE7213F">
      <w:pPr>
        <w:pStyle w:val="9"/>
        <w:tabs>
          <w:tab w:val="left" w:pos="1905"/>
        </w:tabs>
        <w:ind w:left="0"/>
        <w:rPr>
          <w:rFonts w:ascii="Verdana" w:hAnsi="Verdana"/>
          <w:sz w:val="24"/>
          <w:szCs w:val="24"/>
        </w:rPr>
      </w:pPr>
    </w:p>
    <w:p w14:paraId="182B838A">
      <w:pPr>
        <w:pStyle w:val="9"/>
        <w:tabs>
          <w:tab w:val="left" w:pos="1905"/>
        </w:tabs>
        <w:ind w:left="0"/>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12</w:t>
      </w:r>
      <w:r>
        <w:rPr>
          <w:rFonts w:ascii="Verdana" w:hAnsi="Verdana"/>
          <w:sz w:val="24"/>
          <w:szCs w:val="24"/>
        </w:rPr>
        <w:t>.000,00 eura</w:t>
      </w:r>
    </w:p>
    <w:p w14:paraId="03087952">
      <w:pPr>
        <w:pStyle w:val="9"/>
        <w:tabs>
          <w:tab w:val="left" w:pos="1905"/>
        </w:tabs>
        <w:ind w:left="0"/>
        <w:rPr>
          <w:rFonts w:ascii="Verdana" w:hAnsi="Verdana"/>
          <w:sz w:val="24"/>
          <w:szCs w:val="24"/>
        </w:rPr>
      </w:pPr>
    </w:p>
    <w:p w14:paraId="48242834">
      <w:pPr>
        <w:pStyle w:val="9"/>
        <w:tabs>
          <w:tab w:val="left" w:pos="1905"/>
        </w:tabs>
        <w:ind w:left="0"/>
        <w:rPr>
          <w:rFonts w:ascii="Verdana" w:hAnsi="Verdana"/>
          <w:sz w:val="24"/>
          <w:szCs w:val="24"/>
        </w:rPr>
      </w:pPr>
      <w:r>
        <w:rPr>
          <w:rFonts w:ascii="Verdana" w:hAnsi="Verdana"/>
          <w:sz w:val="24"/>
          <w:szCs w:val="24"/>
        </w:rPr>
        <w:t>Rok: travanj-rujan 202</w:t>
      </w:r>
      <w:r>
        <w:rPr>
          <w:rFonts w:hint="default" w:ascii="Verdana" w:hAnsi="Verdana"/>
          <w:sz w:val="24"/>
          <w:szCs w:val="24"/>
          <w:lang w:val="hr-HR"/>
        </w:rPr>
        <w:t>6</w:t>
      </w:r>
      <w:r>
        <w:rPr>
          <w:rFonts w:ascii="Verdana" w:hAnsi="Verdana"/>
          <w:sz w:val="24"/>
          <w:szCs w:val="24"/>
        </w:rPr>
        <w:t>.</w:t>
      </w:r>
    </w:p>
    <w:p w14:paraId="0E751080">
      <w:pPr>
        <w:pStyle w:val="9"/>
        <w:tabs>
          <w:tab w:val="left" w:pos="1905"/>
        </w:tabs>
        <w:ind w:left="0"/>
        <w:rPr>
          <w:rFonts w:ascii="Verdana" w:hAnsi="Verdana"/>
          <w:sz w:val="24"/>
          <w:szCs w:val="24"/>
        </w:rPr>
      </w:pPr>
    </w:p>
    <w:p w14:paraId="764577AA">
      <w:pPr>
        <w:pStyle w:val="9"/>
        <w:tabs>
          <w:tab w:val="left" w:pos="1905"/>
        </w:tabs>
        <w:ind w:left="0"/>
        <w:rPr>
          <w:rFonts w:ascii="Verdana" w:hAnsi="Verdana"/>
          <w:sz w:val="24"/>
          <w:szCs w:val="24"/>
        </w:rPr>
      </w:pPr>
    </w:p>
    <w:p w14:paraId="31D3F97D">
      <w:pPr>
        <w:pStyle w:val="9"/>
        <w:tabs>
          <w:tab w:val="left" w:pos="1905"/>
        </w:tabs>
        <w:ind w:left="0"/>
        <w:rPr>
          <w:rFonts w:ascii="Verdana" w:hAnsi="Verdana"/>
          <w:sz w:val="24"/>
          <w:szCs w:val="24"/>
        </w:rPr>
      </w:pPr>
    </w:p>
    <w:p w14:paraId="22A00F71">
      <w:pPr>
        <w:pStyle w:val="9"/>
        <w:tabs>
          <w:tab w:val="left" w:pos="1905"/>
        </w:tabs>
        <w:ind w:left="0"/>
        <w:rPr>
          <w:rFonts w:ascii="Verdana" w:hAnsi="Verdana"/>
          <w:sz w:val="24"/>
          <w:szCs w:val="24"/>
        </w:rPr>
      </w:pPr>
    </w:p>
    <w:p w14:paraId="7626F83C">
      <w:pPr>
        <w:pStyle w:val="9"/>
        <w:tabs>
          <w:tab w:val="left" w:pos="1905"/>
        </w:tabs>
        <w:ind w:left="0"/>
        <w:rPr>
          <w:rFonts w:ascii="Verdana" w:hAnsi="Verdana"/>
          <w:sz w:val="24"/>
          <w:szCs w:val="24"/>
        </w:rPr>
      </w:pPr>
    </w:p>
    <w:p w14:paraId="6147552F">
      <w:pPr>
        <w:tabs>
          <w:tab w:val="left" w:pos="1905"/>
        </w:tabs>
        <w:rPr>
          <w:rFonts w:ascii="Verdana" w:hAnsi="Verdana"/>
          <w:b/>
          <w:sz w:val="24"/>
          <w:szCs w:val="24"/>
        </w:rPr>
      </w:pPr>
      <w:r>
        <w:rPr>
          <w:rFonts w:ascii="Verdana" w:hAnsi="Verdana"/>
          <w:b/>
          <w:sz w:val="24"/>
          <w:szCs w:val="24"/>
        </w:rPr>
        <w:t>5. ČLANSTVO U STRUKOVNIM ORGANIZACIJAMA</w:t>
      </w:r>
    </w:p>
    <w:p w14:paraId="788F59F9">
      <w:pPr>
        <w:tabs>
          <w:tab w:val="left" w:pos="1905"/>
        </w:tabs>
        <w:rPr>
          <w:rFonts w:ascii="Verdana" w:hAnsi="Verdana"/>
          <w:sz w:val="24"/>
          <w:szCs w:val="24"/>
        </w:rPr>
      </w:pPr>
      <w:r>
        <w:rPr>
          <w:rFonts w:ascii="Verdana" w:hAnsi="Verdana"/>
          <w:sz w:val="24"/>
          <w:szCs w:val="24"/>
        </w:rPr>
        <w:t>Nismo članovi nikakvih strukovnih organizacija</w:t>
      </w:r>
    </w:p>
    <w:p w14:paraId="0A7FCA03">
      <w:pPr>
        <w:pStyle w:val="9"/>
        <w:tabs>
          <w:tab w:val="left" w:pos="1905"/>
        </w:tabs>
        <w:ind w:left="0"/>
        <w:rPr>
          <w:rFonts w:ascii="Verdana" w:hAnsi="Verdana"/>
          <w:b/>
          <w:sz w:val="24"/>
          <w:szCs w:val="24"/>
        </w:rPr>
      </w:pPr>
    </w:p>
    <w:p w14:paraId="2F0D0D04">
      <w:pPr>
        <w:pStyle w:val="9"/>
        <w:tabs>
          <w:tab w:val="left" w:pos="1905"/>
        </w:tabs>
        <w:ind w:left="0"/>
        <w:rPr>
          <w:rFonts w:ascii="Verdana" w:hAnsi="Verdana"/>
          <w:b/>
          <w:sz w:val="24"/>
          <w:szCs w:val="24"/>
        </w:rPr>
      </w:pPr>
    </w:p>
    <w:p w14:paraId="321E3B2F">
      <w:pPr>
        <w:pStyle w:val="9"/>
        <w:tabs>
          <w:tab w:val="left" w:pos="1905"/>
        </w:tabs>
        <w:ind w:left="0"/>
        <w:rPr>
          <w:rFonts w:ascii="Verdana" w:hAnsi="Verdana"/>
          <w:b/>
          <w:sz w:val="24"/>
          <w:szCs w:val="24"/>
        </w:rPr>
      </w:pPr>
    </w:p>
    <w:p w14:paraId="4A0C5921">
      <w:pPr>
        <w:pStyle w:val="9"/>
        <w:tabs>
          <w:tab w:val="left" w:pos="1905"/>
        </w:tabs>
        <w:ind w:left="0"/>
        <w:rPr>
          <w:rFonts w:ascii="Verdana" w:hAnsi="Verdana"/>
          <w:b/>
          <w:sz w:val="24"/>
          <w:szCs w:val="24"/>
        </w:rPr>
      </w:pPr>
      <w:r>
        <w:rPr>
          <w:rFonts w:ascii="Verdana" w:hAnsi="Verdana"/>
          <w:b/>
          <w:sz w:val="24"/>
          <w:szCs w:val="24"/>
        </w:rPr>
        <w:t>6.ADMINISTRATIVNI RASHODI-</w:t>
      </w:r>
      <w:r>
        <w:rPr>
          <w:rFonts w:hint="default" w:ascii="Verdana" w:hAnsi="Verdana"/>
          <w:b/>
          <w:sz w:val="24"/>
          <w:szCs w:val="24"/>
          <w:lang w:val="hr-HR"/>
        </w:rPr>
        <w:t>50</w:t>
      </w:r>
      <w:r>
        <w:rPr>
          <w:rFonts w:ascii="Verdana" w:hAnsi="Verdana"/>
          <w:b/>
          <w:sz w:val="24"/>
          <w:szCs w:val="24"/>
        </w:rPr>
        <w:t>.000,00 eura</w:t>
      </w:r>
    </w:p>
    <w:p w14:paraId="4F50D268">
      <w:pPr>
        <w:pStyle w:val="9"/>
        <w:tabs>
          <w:tab w:val="left" w:pos="1905"/>
        </w:tabs>
        <w:ind w:left="0"/>
        <w:rPr>
          <w:rFonts w:ascii="Verdana" w:hAnsi="Verdana"/>
          <w:b/>
          <w:sz w:val="24"/>
          <w:szCs w:val="24"/>
        </w:rPr>
      </w:pPr>
    </w:p>
    <w:p w14:paraId="230E6B5F">
      <w:pPr>
        <w:pStyle w:val="9"/>
        <w:tabs>
          <w:tab w:val="left" w:pos="1905"/>
        </w:tabs>
        <w:ind w:left="0"/>
        <w:rPr>
          <w:rFonts w:ascii="Verdana" w:hAnsi="Verdana"/>
          <w:sz w:val="24"/>
          <w:szCs w:val="24"/>
        </w:rPr>
      </w:pPr>
      <w:r>
        <w:rPr>
          <w:rFonts w:ascii="Verdana" w:hAnsi="Verdana"/>
          <w:sz w:val="24"/>
          <w:szCs w:val="24"/>
        </w:rPr>
        <w:t>U administrativne rashode svrstavamo sve poslove u uredu turističke zajednice koji su propisani po programu rada te su određeni Zakonom o turističkim zajednicama,Statutom i Poslovnicima.</w:t>
      </w:r>
    </w:p>
    <w:p w14:paraId="321D5899">
      <w:pPr>
        <w:pStyle w:val="9"/>
        <w:tabs>
          <w:tab w:val="left" w:pos="1905"/>
        </w:tabs>
        <w:ind w:left="0"/>
        <w:rPr>
          <w:rFonts w:ascii="Verdana" w:hAnsi="Verdana"/>
          <w:sz w:val="24"/>
          <w:szCs w:val="24"/>
        </w:rPr>
      </w:pPr>
      <w:r>
        <w:rPr>
          <w:rFonts w:ascii="Verdana" w:hAnsi="Verdana"/>
          <w:sz w:val="24"/>
          <w:szCs w:val="24"/>
        </w:rPr>
        <w:t>Tu su slijedeći troškovi:</w:t>
      </w:r>
    </w:p>
    <w:p w14:paraId="13EDE432">
      <w:pPr>
        <w:pStyle w:val="9"/>
        <w:tabs>
          <w:tab w:val="left" w:pos="1905"/>
        </w:tabs>
        <w:ind w:left="0"/>
        <w:rPr>
          <w:rFonts w:ascii="Verdana" w:hAnsi="Verdana"/>
          <w:sz w:val="24"/>
          <w:szCs w:val="24"/>
        </w:rPr>
      </w:pPr>
      <w:r>
        <w:rPr>
          <w:rFonts w:ascii="Verdana" w:hAnsi="Verdana"/>
          <w:sz w:val="24"/>
          <w:szCs w:val="24"/>
        </w:rPr>
        <w:t>Troškovi radnika u zajednici. Naime,zajednica ima 2 stalna djelatnika,direktora,informatora</w:t>
      </w:r>
      <w:r>
        <w:rPr>
          <w:rFonts w:hint="default" w:ascii="Verdana" w:hAnsi="Verdana"/>
          <w:sz w:val="24"/>
          <w:szCs w:val="24"/>
          <w:lang w:val="hr-HR"/>
        </w:rPr>
        <w:t xml:space="preserve"> Tic</w:t>
      </w:r>
      <w:r>
        <w:rPr>
          <w:rFonts w:ascii="Verdana" w:hAnsi="Verdana"/>
          <w:sz w:val="24"/>
          <w:szCs w:val="24"/>
        </w:rPr>
        <w:t xml:space="preserve"> i </w:t>
      </w:r>
      <w:r>
        <w:rPr>
          <w:rFonts w:hint="default" w:ascii="Verdana" w:hAnsi="Verdana"/>
          <w:sz w:val="24"/>
          <w:szCs w:val="24"/>
          <w:lang w:val="hr-HR"/>
        </w:rPr>
        <w:t>po potrebi</w:t>
      </w:r>
      <w:r>
        <w:rPr>
          <w:rFonts w:ascii="Verdana" w:hAnsi="Verdana"/>
          <w:sz w:val="24"/>
          <w:szCs w:val="24"/>
        </w:rPr>
        <w:t xml:space="preserve"> sezonca. Troškovi zaposlenika</w:t>
      </w:r>
      <w:r>
        <w:rPr>
          <w:rFonts w:hint="default" w:ascii="Verdana" w:hAnsi="Verdana"/>
          <w:sz w:val="24"/>
          <w:szCs w:val="24"/>
          <w:lang w:val="hr-HR"/>
        </w:rPr>
        <w:t xml:space="preserve"> i Tic-a</w:t>
      </w:r>
      <w:r>
        <w:rPr>
          <w:rFonts w:ascii="Verdana" w:hAnsi="Verdana"/>
          <w:sz w:val="24"/>
          <w:szCs w:val="24"/>
        </w:rPr>
        <w:t xml:space="preserve"> su u iznosu od </w:t>
      </w:r>
      <w:r>
        <w:rPr>
          <w:rFonts w:hint="default" w:ascii="Verdana" w:hAnsi="Verdana"/>
          <w:sz w:val="24"/>
          <w:szCs w:val="24"/>
          <w:lang w:val="hr-HR"/>
        </w:rPr>
        <w:t>45</w:t>
      </w:r>
      <w:r>
        <w:rPr>
          <w:rFonts w:ascii="Verdana" w:hAnsi="Verdana"/>
          <w:sz w:val="24"/>
          <w:szCs w:val="24"/>
        </w:rPr>
        <w:t>.000,00 eura</w:t>
      </w:r>
    </w:p>
    <w:p w14:paraId="34AB73AC">
      <w:pPr>
        <w:pStyle w:val="9"/>
        <w:tabs>
          <w:tab w:val="left" w:pos="1905"/>
        </w:tabs>
        <w:ind w:left="0"/>
        <w:rPr>
          <w:rFonts w:ascii="Verdana" w:hAnsi="Verdana"/>
          <w:sz w:val="24"/>
          <w:szCs w:val="24"/>
        </w:rPr>
      </w:pPr>
      <w:r>
        <w:rPr>
          <w:rFonts w:ascii="Verdana" w:hAnsi="Verdana"/>
          <w:sz w:val="24"/>
          <w:szCs w:val="24"/>
        </w:rPr>
        <w:t xml:space="preserve">Troškovi zajednice kao što su uredski materijal,troškovi telefona,pošte,fine,banke,knjigovodstva,nabava opreme,troškovi reprezentacije,dnevnice,stručna literatura i sl. iznose </w:t>
      </w:r>
      <w:r>
        <w:rPr>
          <w:rFonts w:hint="default" w:ascii="Verdana" w:hAnsi="Verdana"/>
          <w:sz w:val="24"/>
          <w:szCs w:val="24"/>
          <w:lang w:val="hr-HR"/>
        </w:rPr>
        <w:t>5</w:t>
      </w:r>
      <w:r>
        <w:rPr>
          <w:rFonts w:ascii="Verdana" w:hAnsi="Verdana"/>
          <w:sz w:val="24"/>
          <w:szCs w:val="24"/>
        </w:rPr>
        <w:t>.000,00 eura</w:t>
      </w:r>
    </w:p>
    <w:p w14:paraId="3EA23844">
      <w:pPr>
        <w:pStyle w:val="9"/>
        <w:tabs>
          <w:tab w:val="left" w:pos="1905"/>
        </w:tabs>
        <w:ind w:left="0"/>
        <w:rPr>
          <w:rFonts w:ascii="Verdana" w:hAnsi="Verdana"/>
          <w:sz w:val="24"/>
          <w:szCs w:val="24"/>
        </w:rPr>
      </w:pPr>
    </w:p>
    <w:p w14:paraId="3EB3B77F">
      <w:pPr>
        <w:pStyle w:val="9"/>
        <w:tabs>
          <w:tab w:val="left" w:pos="1905"/>
        </w:tabs>
        <w:ind w:left="0"/>
        <w:rPr>
          <w:rFonts w:ascii="Verdana" w:hAnsi="Verdana"/>
          <w:sz w:val="24"/>
          <w:szCs w:val="24"/>
        </w:rPr>
      </w:pPr>
      <w:r>
        <w:rPr>
          <w:rFonts w:ascii="Verdana" w:hAnsi="Verdana"/>
          <w:sz w:val="24"/>
          <w:szCs w:val="24"/>
        </w:rPr>
        <w:t>Nositelj: TZ Krapanj-Brodarica</w:t>
      </w:r>
    </w:p>
    <w:p w14:paraId="073F205C">
      <w:pPr>
        <w:pStyle w:val="9"/>
        <w:tabs>
          <w:tab w:val="left" w:pos="1905"/>
        </w:tabs>
        <w:ind w:left="0"/>
        <w:rPr>
          <w:rFonts w:ascii="Verdana" w:hAnsi="Verdana"/>
          <w:sz w:val="24"/>
          <w:szCs w:val="24"/>
        </w:rPr>
      </w:pPr>
    </w:p>
    <w:p w14:paraId="6FEAAE99">
      <w:pPr>
        <w:pStyle w:val="9"/>
        <w:tabs>
          <w:tab w:val="left" w:pos="1905"/>
        </w:tabs>
        <w:ind w:left="0"/>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50</w:t>
      </w:r>
      <w:r>
        <w:rPr>
          <w:rFonts w:ascii="Verdana" w:hAnsi="Verdana"/>
          <w:sz w:val="24"/>
          <w:szCs w:val="24"/>
        </w:rPr>
        <w:t>.000,00 eura</w:t>
      </w:r>
    </w:p>
    <w:p w14:paraId="2FF553FF">
      <w:pPr>
        <w:pStyle w:val="9"/>
        <w:tabs>
          <w:tab w:val="left" w:pos="1905"/>
        </w:tabs>
        <w:ind w:left="0"/>
        <w:rPr>
          <w:rFonts w:ascii="Verdana" w:hAnsi="Verdana"/>
          <w:sz w:val="24"/>
          <w:szCs w:val="24"/>
        </w:rPr>
      </w:pPr>
    </w:p>
    <w:p w14:paraId="1D4CF381">
      <w:pPr>
        <w:pStyle w:val="9"/>
        <w:tabs>
          <w:tab w:val="left" w:pos="1905"/>
        </w:tabs>
        <w:ind w:left="0"/>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1327A50D">
      <w:pPr>
        <w:pStyle w:val="9"/>
        <w:tabs>
          <w:tab w:val="left" w:pos="1905"/>
        </w:tabs>
        <w:ind w:left="0"/>
        <w:rPr>
          <w:rFonts w:ascii="Verdana" w:hAnsi="Verdana"/>
          <w:sz w:val="24"/>
          <w:szCs w:val="24"/>
        </w:rPr>
      </w:pPr>
    </w:p>
    <w:p w14:paraId="736A8E9D">
      <w:pPr>
        <w:pStyle w:val="9"/>
        <w:tabs>
          <w:tab w:val="left" w:pos="1905"/>
        </w:tabs>
        <w:ind w:left="0"/>
        <w:rPr>
          <w:rFonts w:ascii="Verdana" w:hAnsi="Verdana"/>
          <w:sz w:val="24"/>
          <w:szCs w:val="24"/>
        </w:rPr>
      </w:pPr>
    </w:p>
    <w:p w14:paraId="1310A31D">
      <w:pPr>
        <w:tabs>
          <w:tab w:val="left" w:pos="1905"/>
        </w:tabs>
        <w:rPr>
          <w:rFonts w:ascii="Verdana" w:hAnsi="Verdana"/>
          <w:b/>
          <w:sz w:val="24"/>
          <w:szCs w:val="24"/>
        </w:rPr>
      </w:pPr>
      <w:r>
        <w:rPr>
          <w:rFonts w:ascii="Verdana" w:hAnsi="Verdana"/>
          <w:b/>
          <w:sz w:val="24"/>
          <w:szCs w:val="24"/>
        </w:rPr>
        <w:t>7.REZERVA-</w:t>
      </w:r>
      <w:r>
        <w:rPr>
          <w:rFonts w:hint="default" w:ascii="Verdana" w:hAnsi="Verdana"/>
          <w:b/>
          <w:sz w:val="24"/>
          <w:szCs w:val="24"/>
          <w:lang w:val="hr-HR"/>
        </w:rPr>
        <w:t>3</w:t>
      </w:r>
      <w:r>
        <w:rPr>
          <w:rFonts w:ascii="Verdana" w:hAnsi="Verdana"/>
          <w:b/>
          <w:sz w:val="24"/>
          <w:szCs w:val="24"/>
        </w:rPr>
        <w:t>.000,00 eura</w:t>
      </w:r>
    </w:p>
    <w:p w14:paraId="1E1A172D">
      <w:pPr>
        <w:tabs>
          <w:tab w:val="left" w:pos="1905"/>
        </w:tabs>
        <w:rPr>
          <w:rFonts w:ascii="Verdana" w:hAnsi="Verdana"/>
          <w:sz w:val="24"/>
          <w:szCs w:val="24"/>
        </w:rPr>
      </w:pPr>
      <w:r>
        <w:rPr>
          <w:rFonts w:ascii="Verdana" w:hAnsi="Verdana"/>
          <w:sz w:val="24"/>
          <w:szCs w:val="24"/>
        </w:rPr>
        <w:t>Rezerva do 5% za potrebe osiguranja likvidnosti u izvanrednim okolnostima te financiranja neplaniranih aktivnosti,neplaniranih donacija ili slično.</w:t>
      </w:r>
    </w:p>
    <w:p w14:paraId="188197EA">
      <w:pPr>
        <w:tabs>
          <w:tab w:val="left" w:pos="1905"/>
        </w:tabs>
        <w:rPr>
          <w:rFonts w:ascii="Verdana" w:hAnsi="Verdana"/>
          <w:sz w:val="24"/>
          <w:szCs w:val="24"/>
        </w:rPr>
      </w:pPr>
      <w:r>
        <w:rPr>
          <w:rFonts w:ascii="Verdana" w:hAnsi="Verdana"/>
          <w:sz w:val="24"/>
          <w:szCs w:val="24"/>
        </w:rPr>
        <w:t>Nositelj: TZ Krapanj-Brodarica</w:t>
      </w:r>
    </w:p>
    <w:p w14:paraId="6CE93C47">
      <w:pPr>
        <w:tabs>
          <w:tab w:val="left" w:pos="1905"/>
        </w:tabs>
        <w:rPr>
          <w:rFonts w:ascii="Verdana" w:hAnsi="Verdana"/>
          <w:sz w:val="24"/>
          <w:szCs w:val="24"/>
        </w:rPr>
      </w:pPr>
      <w:r>
        <w:rPr>
          <w:rFonts w:ascii="Verdana" w:hAnsi="Verdana"/>
          <w:sz w:val="24"/>
          <w:szCs w:val="24"/>
        </w:rPr>
        <w:t xml:space="preserve">Iznos: </w:t>
      </w:r>
      <w:r>
        <w:rPr>
          <w:rFonts w:hint="default" w:ascii="Verdana" w:hAnsi="Verdana"/>
          <w:sz w:val="24"/>
          <w:szCs w:val="24"/>
          <w:lang w:val="hr-HR"/>
        </w:rPr>
        <w:t>3</w:t>
      </w:r>
      <w:r>
        <w:rPr>
          <w:rFonts w:ascii="Verdana" w:hAnsi="Verdana"/>
          <w:sz w:val="24"/>
          <w:szCs w:val="24"/>
        </w:rPr>
        <w:t>.000,00 eura</w:t>
      </w:r>
    </w:p>
    <w:p w14:paraId="3DF66E55">
      <w:pPr>
        <w:tabs>
          <w:tab w:val="left" w:pos="1905"/>
        </w:tabs>
        <w:rPr>
          <w:rFonts w:ascii="Verdana" w:hAnsi="Verdana"/>
          <w:sz w:val="24"/>
          <w:szCs w:val="24"/>
        </w:rPr>
      </w:pPr>
      <w:r>
        <w:rPr>
          <w:rFonts w:ascii="Verdana" w:hAnsi="Verdana"/>
          <w:sz w:val="24"/>
          <w:szCs w:val="24"/>
        </w:rPr>
        <w:t>Rok: tijekom cijele 202</w:t>
      </w:r>
      <w:r>
        <w:rPr>
          <w:rFonts w:hint="default" w:ascii="Verdana" w:hAnsi="Verdana"/>
          <w:sz w:val="24"/>
          <w:szCs w:val="24"/>
          <w:lang w:val="hr-HR"/>
        </w:rPr>
        <w:t>6</w:t>
      </w:r>
      <w:r>
        <w:rPr>
          <w:rFonts w:ascii="Verdana" w:hAnsi="Verdana"/>
          <w:sz w:val="24"/>
          <w:szCs w:val="24"/>
        </w:rPr>
        <w:t>.</w:t>
      </w:r>
    </w:p>
    <w:p w14:paraId="355A9299">
      <w:pPr>
        <w:tabs>
          <w:tab w:val="left" w:pos="1905"/>
        </w:tabs>
        <w:rPr>
          <w:rFonts w:ascii="Verdana" w:hAnsi="Verdana"/>
          <w:sz w:val="24"/>
          <w:szCs w:val="24"/>
        </w:rPr>
      </w:pPr>
    </w:p>
    <w:p w14:paraId="1E754827">
      <w:pPr>
        <w:tabs>
          <w:tab w:val="left" w:pos="1905"/>
        </w:tabs>
        <w:rPr>
          <w:rFonts w:hint="default" w:ascii="Verdana" w:hAnsi="Verdana"/>
          <w:b/>
          <w:bCs/>
          <w:sz w:val="24"/>
          <w:szCs w:val="24"/>
          <w:lang w:val="hr-HR"/>
        </w:rPr>
      </w:pPr>
      <w:r>
        <w:rPr>
          <w:rFonts w:hint="default" w:ascii="Verdana" w:hAnsi="Verdana"/>
          <w:b/>
          <w:bCs/>
          <w:sz w:val="24"/>
          <w:szCs w:val="24"/>
          <w:lang w:val="hr-HR"/>
        </w:rPr>
        <w:t>UKUPNI RASHODI: 127,500,00 eura</w:t>
      </w:r>
    </w:p>
    <w:p w14:paraId="4F153ED3">
      <w:pPr>
        <w:tabs>
          <w:tab w:val="left" w:pos="1905"/>
        </w:tabs>
        <w:rPr>
          <w:rFonts w:hint="default" w:ascii="Verdana" w:hAnsi="Verdana"/>
          <w:sz w:val="24"/>
          <w:szCs w:val="24"/>
          <w:lang w:val="hr-HR"/>
        </w:rPr>
      </w:pPr>
    </w:p>
    <w:p w14:paraId="73C7282A">
      <w:pPr>
        <w:tabs>
          <w:tab w:val="left" w:pos="1905"/>
        </w:tabs>
        <w:rPr>
          <w:rFonts w:hint="default" w:ascii="Verdana" w:hAnsi="Verdana"/>
          <w:sz w:val="24"/>
          <w:szCs w:val="24"/>
          <w:lang w:val="hr-HR"/>
        </w:rPr>
      </w:pPr>
    </w:p>
    <w:p w14:paraId="41F2D968">
      <w:pPr>
        <w:tabs>
          <w:tab w:val="left" w:pos="1905"/>
        </w:tabs>
        <w:rPr>
          <w:rFonts w:hint="default" w:ascii="Verdana" w:hAnsi="Verdana"/>
          <w:sz w:val="24"/>
          <w:szCs w:val="24"/>
          <w:lang w:val="hr-HR"/>
        </w:rPr>
      </w:pPr>
    </w:p>
    <w:p w14:paraId="50404F24">
      <w:pPr>
        <w:tabs>
          <w:tab w:val="left" w:pos="1905"/>
        </w:tabs>
        <w:rPr>
          <w:rFonts w:hint="default" w:ascii="Verdana" w:hAnsi="Verdana"/>
          <w:sz w:val="24"/>
          <w:szCs w:val="24"/>
          <w:lang w:val="hr-HR"/>
        </w:rPr>
      </w:pPr>
    </w:p>
    <w:p w14:paraId="63FB9256">
      <w:pPr>
        <w:rPr>
          <w:rFonts w:ascii="Calibri" w:hAnsi="Calibri"/>
          <w:b/>
        </w:rPr>
      </w:pPr>
    </w:p>
    <w:p w14:paraId="33CF72CC">
      <w:pPr>
        <w:jc w:val="center"/>
        <w:rPr>
          <w:rFonts w:ascii="Calibri" w:hAnsi="Calibri"/>
          <w:b/>
          <w:sz w:val="36"/>
          <w:szCs w:val="36"/>
        </w:rPr>
      </w:pPr>
      <w:r>
        <w:rPr>
          <w:rFonts w:ascii="Calibri" w:hAnsi="Calibri"/>
          <w:b/>
          <w:sz w:val="36"/>
          <w:szCs w:val="36"/>
        </w:rPr>
        <w:t xml:space="preserve">STRUKTURA PLANIRANJA-TABLIČNI PRIKAZ </w:t>
      </w:r>
    </w:p>
    <w:p w14:paraId="3C3BF534">
      <w:pPr>
        <w:rPr>
          <w:rFonts w:ascii="Calibri" w:hAnsi="Calibri"/>
          <w:b/>
          <w:sz w:val="16"/>
          <w:szCs w:val="16"/>
        </w:rPr>
      </w:pPr>
    </w:p>
    <w:tbl>
      <w:tblPr>
        <w:tblStyle w:val="3"/>
        <w:tblpPr w:leftFromText="180" w:rightFromText="180" w:vertAnchor="text" w:tblpX="-459" w:tblpY="87"/>
        <w:tblW w:w="9747" w:type="dxa"/>
        <w:tblInd w:w="0" w:type="dxa"/>
        <w:tblLayout w:type="fixed"/>
        <w:tblCellMar>
          <w:top w:w="0" w:type="dxa"/>
          <w:left w:w="108" w:type="dxa"/>
          <w:bottom w:w="0" w:type="dxa"/>
          <w:right w:w="108" w:type="dxa"/>
        </w:tblCellMar>
      </w:tblPr>
      <w:tblGrid>
        <w:gridCol w:w="392"/>
        <w:gridCol w:w="709"/>
        <w:gridCol w:w="2835"/>
        <w:gridCol w:w="2126"/>
        <w:gridCol w:w="2013"/>
        <w:gridCol w:w="964"/>
        <w:gridCol w:w="21"/>
        <w:gridCol w:w="687"/>
      </w:tblGrid>
      <w:tr w14:paraId="11DCC0E2">
        <w:tblPrEx>
          <w:tblCellMar>
            <w:top w:w="0" w:type="dxa"/>
            <w:left w:w="108" w:type="dxa"/>
            <w:bottom w:w="0" w:type="dxa"/>
            <w:right w:w="108" w:type="dxa"/>
          </w:tblCellMar>
        </w:tblPrEx>
        <w:trPr>
          <w:trHeight w:val="1266" w:hRule="atLeast"/>
        </w:trPr>
        <w:tc>
          <w:tcPr>
            <w:tcW w:w="392" w:type="dxa"/>
            <w:tcBorders>
              <w:top w:val="single" w:color="auto" w:sz="4" w:space="0"/>
              <w:left w:val="single" w:color="auto" w:sz="4" w:space="0"/>
              <w:bottom w:val="single" w:color="auto" w:sz="4" w:space="0"/>
              <w:right w:val="single" w:color="auto" w:sz="4" w:space="0"/>
            </w:tcBorders>
            <w:shd w:val="clear" w:color="000000" w:fill="DDEBF7"/>
            <w:vAlign w:val="center"/>
          </w:tcPr>
          <w:p w14:paraId="09B45482">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single" w:color="auto" w:sz="4" w:space="0"/>
              <w:left w:val="nil"/>
              <w:bottom w:val="single" w:color="auto" w:sz="4" w:space="0"/>
              <w:right w:val="single" w:color="auto" w:sz="4" w:space="0"/>
            </w:tcBorders>
            <w:shd w:val="clear" w:color="000000" w:fill="DDEBF7"/>
            <w:vAlign w:val="center"/>
          </w:tcPr>
          <w:p w14:paraId="1355775F">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single" w:color="auto" w:sz="4" w:space="0"/>
              <w:left w:val="nil"/>
              <w:bottom w:val="single" w:color="auto" w:sz="4" w:space="0"/>
              <w:right w:val="single" w:color="auto" w:sz="4" w:space="0"/>
            </w:tcBorders>
            <w:shd w:val="clear" w:color="000000" w:fill="DDEBF7"/>
            <w:vAlign w:val="center"/>
          </w:tcPr>
          <w:p w14:paraId="02E54CB5">
            <w:pPr>
              <w:jc w:val="center"/>
              <w:rPr>
                <w:rFonts w:eastAsia="Times New Roman" w:cs="Calibri"/>
                <w:b/>
                <w:bCs/>
                <w:color w:val="000000"/>
                <w:sz w:val="20"/>
                <w:szCs w:val="20"/>
              </w:rPr>
            </w:pPr>
            <w:r>
              <w:rPr>
                <w:rFonts w:eastAsia="Times New Roman" w:cs="Calibri"/>
                <w:b/>
                <w:bCs/>
                <w:color w:val="000000"/>
                <w:sz w:val="20"/>
                <w:szCs w:val="20"/>
              </w:rPr>
              <w:t>PRIHODI</w:t>
            </w:r>
          </w:p>
        </w:tc>
        <w:tc>
          <w:tcPr>
            <w:tcW w:w="2126" w:type="dxa"/>
            <w:tcBorders>
              <w:top w:val="single" w:color="auto" w:sz="4" w:space="0"/>
              <w:left w:val="nil"/>
              <w:bottom w:val="single" w:color="auto" w:sz="4" w:space="0"/>
              <w:right w:val="single" w:color="auto" w:sz="4" w:space="0"/>
            </w:tcBorders>
            <w:shd w:val="clear" w:color="000000" w:fill="DDEBF7"/>
            <w:vAlign w:val="center"/>
          </w:tcPr>
          <w:p w14:paraId="38505B60">
            <w:pPr>
              <w:jc w:val="center"/>
              <w:rPr>
                <w:rFonts w:eastAsia="Times New Roman" w:cs="Calibri"/>
                <w:b/>
                <w:bCs/>
                <w:color w:val="000000"/>
                <w:sz w:val="20"/>
                <w:szCs w:val="20"/>
              </w:rPr>
            </w:pPr>
          </w:p>
          <w:p w14:paraId="0496AB30">
            <w:pPr>
              <w:jc w:val="center"/>
              <w:rPr>
                <w:rFonts w:eastAsia="Times New Roman" w:cs="Calibri"/>
                <w:b/>
                <w:bCs/>
                <w:color w:val="000000"/>
                <w:sz w:val="20"/>
                <w:szCs w:val="20"/>
              </w:rPr>
            </w:pPr>
            <w:r>
              <w:rPr>
                <w:rFonts w:eastAsia="Times New Roman" w:cs="Calibri"/>
                <w:b/>
                <w:bCs/>
                <w:color w:val="000000"/>
                <w:sz w:val="20"/>
                <w:szCs w:val="20"/>
              </w:rPr>
              <w:t>Plan za 202</w:t>
            </w:r>
            <w:r>
              <w:rPr>
                <w:rFonts w:hint="default" w:eastAsia="Times New Roman" w:cs="Calibri"/>
                <w:b/>
                <w:bCs/>
                <w:color w:val="000000"/>
                <w:sz w:val="20"/>
                <w:szCs w:val="20"/>
                <w:lang w:val="hr-HR"/>
              </w:rPr>
              <w:t>5</w:t>
            </w:r>
            <w:r>
              <w:rPr>
                <w:rFonts w:eastAsia="Times New Roman" w:cs="Calibri"/>
                <w:b/>
                <w:bCs/>
                <w:color w:val="000000"/>
                <w:sz w:val="20"/>
                <w:szCs w:val="20"/>
              </w:rPr>
              <w:t>.</w:t>
            </w:r>
          </w:p>
          <w:p w14:paraId="1A8FA905">
            <w:pPr>
              <w:jc w:val="center"/>
              <w:rPr>
                <w:rFonts w:eastAsia="Times New Roman" w:cs="Calibri"/>
                <w:b/>
                <w:bCs/>
                <w:color w:val="000000"/>
                <w:sz w:val="20"/>
                <w:szCs w:val="20"/>
              </w:rPr>
            </w:pPr>
            <w:r>
              <w:rPr>
                <w:rFonts w:eastAsia="Times New Roman" w:cs="Calibri"/>
                <w:b/>
                <w:bCs/>
                <w:color w:val="000000"/>
                <w:sz w:val="20"/>
                <w:szCs w:val="20"/>
              </w:rPr>
              <w:t xml:space="preserve"> </w:t>
            </w:r>
          </w:p>
          <w:p w14:paraId="4CADC520">
            <w:pPr>
              <w:jc w:val="center"/>
              <w:rPr>
                <w:rFonts w:eastAsia="Times New Roman" w:cs="Calibri"/>
                <w:b/>
                <w:bCs/>
                <w:color w:val="000000"/>
                <w:sz w:val="20"/>
                <w:szCs w:val="20"/>
              </w:rPr>
            </w:pPr>
          </w:p>
        </w:tc>
        <w:tc>
          <w:tcPr>
            <w:tcW w:w="2013" w:type="dxa"/>
            <w:tcBorders>
              <w:top w:val="single" w:color="auto" w:sz="4" w:space="0"/>
              <w:left w:val="nil"/>
              <w:bottom w:val="single" w:color="auto" w:sz="4" w:space="0"/>
              <w:right w:val="single" w:color="auto" w:sz="4" w:space="0"/>
            </w:tcBorders>
            <w:shd w:val="clear" w:color="000000" w:fill="DDEBF7"/>
            <w:vAlign w:val="center"/>
          </w:tcPr>
          <w:p w14:paraId="7278ED03">
            <w:pPr>
              <w:jc w:val="center"/>
              <w:rPr>
                <w:rFonts w:eastAsia="Times New Roman" w:cs="Calibri"/>
                <w:b/>
                <w:bCs/>
                <w:color w:val="000000"/>
                <w:sz w:val="20"/>
                <w:szCs w:val="20"/>
              </w:rPr>
            </w:pPr>
            <w:r>
              <w:rPr>
                <w:rFonts w:eastAsia="Times New Roman" w:cs="Calibri"/>
                <w:b/>
                <w:bCs/>
                <w:color w:val="000000"/>
                <w:sz w:val="20"/>
                <w:szCs w:val="20"/>
              </w:rPr>
              <w:t>Plan za 202</w:t>
            </w:r>
            <w:r>
              <w:rPr>
                <w:rFonts w:hint="default" w:eastAsia="Times New Roman" w:cs="Calibri"/>
                <w:b/>
                <w:bCs/>
                <w:color w:val="000000"/>
                <w:sz w:val="20"/>
                <w:szCs w:val="20"/>
                <w:lang w:val="hr-HR"/>
              </w:rPr>
              <w:t>6</w:t>
            </w:r>
            <w:r>
              <w:rPr>
                <w:rFonts w:eastAsia="Times New Roman" w:cs="Calibri"/>
                <w:b/>
                <w:bCs/>
                <w:color w:val="000000"/>
                <w:sz w:val="20"/>
                <w:szCs w:val="20"/>
              </w:rPr>
              <w:t>.</w:t>
            </w:r>
          </w:p>
          <w:p w14:paraId="3426D914">
            <w:pPr>
              <w:jc w:val="center"/>
              <w:rPr>
                <w:rFonts w:eastAsia="Times New Roman" w:cs="Calibri"/>
                <w:b/>
                <w:bCs/>
                <w:color w:val="000000"/>
                <w:sz w:val="20"/>
                <w:szCs w:val="20"/>
              </w:rPr>
            </w:pPr>
            <w:r>
              <w:rPr>
                <w:rFonts w:eastAsia="Times New Roman" w:cs="Calibri"/>
                <w:b/>
                <w:bCs/>
                <w:color w:val="000000"/>
                <w:sz w:val="20"/>
                <w:szCs w:val="20"/>
              </w:rPr>
              <w:t xml:space="preserve"> </w:t>
            </w:r>
          </w:p>
        </w:tc>
        <w:tc>
          <w:tcPr>
            <w:tcW w:w="985" w:type="dxa"/>
            <w:gridSpan w:val="2"/>
            <w:tcBorders>
              <w:top w:val="single" w:color="auto" w:sz="4" w:space="0"/>
              <w:left w:val="nil"/>
              <w:bottom w:val="single" w:color="auto" w:sz="4" w:space="0"/>
              <w:right w:val="single" w:color="auto" w:sz="4" w:space="0"/>
            </w:tcBorders>
            <w:shd w:val="clear" w:color="000000" w:fill="DDEBF7"/>
            <w:vAlign w:val="center"/>
          </w:tcPr>
          <w:p w14:paraId="783CC35C">
            <w:pPr>
              <w:jc w:val="center"/>
              <w:rPr>
                <w:rFonts w:hint="default" w:eastAsia="Times New Roman" w:cs="Calibri"/>
                <w:b/>
                <w:bCs/>
                <w:color w:val="000000"/>
                <w:sz w:val="20"/>
                <w:szCs w:val="20"/>
                <w:lang w:val="hr-HR"/>
              </w:rPr>
            </w:pPr>
            <w:r>
              <w:rPr>
                <w:rFonts w:eastAsia="Times New Roman" w:cs="Calibri"/>
                <w:b/>
                <w:bCs/>
                <w:color w:val="000000"/>
                <w:sz w:val="20"/>
                <w:szCs w:val="20"/>
              </w:rPr>
              <w:t>PLAN 202</w:t>
            </w:r>
            <w:r>
              <w:rPr>
                <w:rFonts w:hint="default" w:eastAsia="Times New Roman" w:cs="Calibri"/>
                <w:b/>
                <w:bCs/>
                <w:color w:val="000000"/>
                <w:sz w:val="20"/>
                <w:szCs w:val="20"/>
                <w:lang w:val="hr-HR"/>
              </w:rPr>
              <w:t>6</w:t>
            </w:r>
            <w:r>
              <w:rPr>
                <w:rFonts w:eastAsia="Times New Roman" w:cs="Calibri"/>
                <w:b/>
                <w:bCs/>
                <w:color w:val="000000"/>
                <w:sz w:val="20"/>
                <w:szCs w:val="20"/>
              </w:rPr>
              <w:t>/202</w:t>
            </w:r>
            <w:r>
              <w:rPr>
                <w:rFonts w:hint="default" w:eastAsia="Times New Roman" w:cs="Calibri"/>
                <w:b/>
                <w:bCs/>
                <w:color w:val="000000"/>
                <w:sz w:val="20"/>
                <w:szCs w:val="20"/>
                <w:lang w:val="hr-HR"/>
              </w:rPr>
              <w:t>5</w:t>
            </w:r>
          </w:p>
        </w:tc>
        <w:tc>
          <w:tcPr>
            <w:tcW w:w="687" w:type="dxa"/>
            <w:tcBorders>
              <w:top w:val="single" w:color="auto" w:sz="4" w:space="0"/>
              <w:left w:val="nil"/>
              <w:bottom w:val="single" w:color="auto" w:sz="4" w:space="0"/>
              <w:right w:val="single" w:color="auto" w:sz="4" w:space="0"/>
            </w:tcBorders>
            <w:shd w:val="clear" w:color="000000" w:fill="DDEBF7"/>
            <w:vAlign w:val="center"/>
          </w:tcPr>
          <w:p w14:paraId="62A436DE">
            <w:pPr>
              <w:jc w:val="center"/>
              <w:rPr>
                <w:rFonts w:eastAsia="Times New Roman" w:cs="Calibri"/>
                <w:b/>
                <w:bCs/>
                <w:color w:val="000000"/>
                <w:sz w:val="20"/>
                <w:szCs w:val="20"/>
              </w:rPr>
            </w:pPr>
            <w:r>
              <w:rPr>
                <w:rFonts w:eastAsia="Times New Roman" w:cs="Calibri"/>
                <w:b/>
                <w:bCs/>
                <w:color w:val="000000"/>
                <w:sz w:val="20"/>
                <w:szCs w:val="20"/>
              </w:rPr>
              <w:t>udio %</w:t>
            </w:r>
          </w:p>
        </w:tc>
      </w:tr>
      <w:tr w14:paraId="206CE673">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777EFCBF">
            <w:pPr>
              <w:rPr>
                <w:rFonts w:eastAsia="Times New Roman" w:cs="Calibri"/>
                <w:b/>
                <w:bCs/>
                <w:color w:val="000000"/>
                <w:sz w:val="20"/>
                <w:szCs w:val="20"/>
              </w:rPr>
            </w:pPr>
            <w:r>
              <w:rPr>
                <w:rFonts w:eastAsia="Times New Roman" w:cs="Calibri"/>
                <w:b/>
                <w:bCs/>
                <w:color w:val="000000"/>
                <w:sz w:val="20"/>
                <w:szCs w:val="20"/>
              </w:rPr>
              <w:t>1.</w:t>
            </w:r>
          </w:p>
        </w:tc>
        <w:tc>
          <w:tcPr>
            <w:tcW w:w="709" w:type="dxa"/>
            <w:tcBorders>
              <w:top w:val="nil"/>
              <w:left w:val="nil"/>
              <w:bottom w:val="single" w:color="auto" w:sz="4" w:space="0"/>
              <w:right w:val="single" w:color="auto" w:sz="4" w:space="0"/>
            </w:tcBorders>
            <w:shd w:val="clear" w:color="000000" w:fill="DDEBF7"/>
            <w:vAlign w:val="center"/>
          </w:tcPr>
          <w:p w14:paraId="7BD320AD">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56A36A48">
            <w:pPr>
              <w:rPr>
                <w:rFonts w:eastAsia="Times New Roman" w:cs="Calibri"/>
                <w:b/>
                <w:bCs/>
                <w:color w:val="000000"/>
                <w:sz w:val="20"/>
                <w:szCs w:val="20"/>
              </w:rPr>
            </w:pPr>
            <w:r>
              <w:rPr>
                <w:rFonts w:eastAsia="Times New Roman" w:cs="Calibri"/>
                <w:b/>
                <w:bCs/>
                <w:color w:val="000000"/>
                <w:sz w:val="20"/>
                <w:szCs w:val="20"/>
              </w:rPr>
              <w:t xml:space="preserve">Prihodi </w:t>
            </w:r>
          </w:p>
        </w:tc>
        <w:tc>
          <w:tcPr>
            <w:tcW w:w="2126" w:type="dxa"/>
            <w:tcBorders>
              <w:top w:val="nil"/>
              <w:left w:val="nil"/>
              <w:bottom w:val="single" w:color="auto" w:sz="4" w:space="0"/>
              <w:right w:val="single" w:color="auto" w:sz="4" w:space="0"/>
            </w:tcBorders>
            <w:shd w:val="clear" w:color="000000" w:fill="DDEBF7"/>
            <w:noWrap/>
            <w:vAlign w:val="center"/>
          </w:tcPr>
          <w:p w14:paraId="5C7AB621">
            <w:pPr>
              <w:jc w:val="right"/>
              <w:rPr>
                <w:rFonts w:eastAsia="Times New Roman" w:cs="Calibri"/>
                <w:b/>
                <w:color w:val="000000"/>
                <w:sz w:val="20"/>
                <w:szCs w:val="20"/>
              </w:rPr>
            </w:pPr>
          </w:p>
        </w:tc>
        <w:tc>
          <w:tcPr>
            <w:tcW w:w="2013" w:type="dxa"/>
            <w:tcBorders>
              <w:top w:val="nil"/>
              <w:left w:val="nil"/>
              <w:bottom w:val="single" w:color="auto" w:sz="4" w:space="0"/>
              <w:right w:val="single" w:color="auto" w:sz="4" w:space="0"/>
            </w:tcBorders>
            <w:shd w:val="clear" w:color="000000" w:fill="DDEBF7"/>
            <w:vAlign w:val="center"/>
          </w:tcPr>
          <w:p w14:paraId="48A3C0B3">
            <w:pPr>
              <w:jc w:val="right"/>
              <w:rPr>
                <w:rFonts w:eastAsia="Times New Roman" w:cs="Calibri"/>
                <w:b/>
                <w:color w:val="000000"/>
                <w:sz w:val="20"/>
                <w:szCs w:val="20"/>
              </w:rPr>
            </w:pPr>
          </w:p>
        </w:tc>
        <w:tc>
          <w:tcPr>
            <w:tcW w:w="985" w:type="dxa"/>
            <w:gridSpan w:val="2"/>
            <w:tcBorders>
              <w:top w:val="nil"/>
              <w:left w:val="nil"/>
              <w:bottom w:val="single" w:color="auto" w:sz="4" w:space="0"/>
              <w:right w:val="single" w:color="auto" w:sz="4" w:space="0"/>
            </w:tcBorders>
            <w:shd w:val="clear" w:color="000000" w:fill="DDEBF7"/>
            <w:noWrap/>
            <w:vAlign w:val="center"/>
          </w:tcPr>
          <w:p w14:paraId="00BF2045">
            <w:pPr>
              <w:jc w:val="center"/>
              <w:rPr>
                <w:rFonts w:eastAsia="Times New Roman" w:cs="Calibri"/>
                <w:b/>
                <w:color w:val="000000"/>
                <w:sz w:val="20"/>
                <w:szCs w:val="20"/>
              </w:rPr>
            </w:pPr>
          </w:p>
        </w:tc>
        <w:tc>
          <w:tcPr>
            <w:tcW w:w="687" w:type="dxa"/>
            <w:tcBorders>
              <w:top w:val="nil"/>
              <w:left w:val="nil"/>
              <w:bottom w:val="single" w:color="auto" w:sz="4" w:space="0"/>
              <w:right w:val="single" w:color="auto" w:sz="4" w:space="0"/>
            </w:tcBorders>
            <w:shd w:val="clear" w:color="000000" w:fill="DDEBF7"/>
            <w:vAlign w:val="center"/>
          </w:tcPr>
          <w:p w14:paraId="6A274483">
            <w:pPr>
              <w:jc w:val="center"/>
              <w:rPr>
                <w:rFonts w:eastAsia="Times New Roman" w:cs="Calibri"/>
                <w:b/>
                <w:color w:val="000000"/>
                <w:sz w:val="20"/>
                <w:szCs w:val="20"/>
              </w:rPr>
            </w:pPr>
          </w:p>
        </w:tc>
      </w:tr>
      <w:tr w14:paraId="7DA38243">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6DE41D34">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FFFFFF" w:themeFill="background1"/>
            <w:vAlign w:val="center"/>
          </w:tcPr>
          <w:p w14:paraId="3F8F041A">
            <w:pPr>
              <w:rPr>
                <w:rFonts w:eastAsia="Times New Roman" w:cs="Calibri"/>
                <w:b/>
                <w:bCs/>
                <w:color w:val="000000"/>
                <w:sz w:val="20"/>
                <w:szCs w:val="20"/>
              </w:rPr>
            </w:pPr>
            <w:r>
              <w:rPr>
                <w:rFonts w:eastAsia="Times New Roman" w:cs="Calibri"/>
                <w:b/>
                <w:bCs/>
                <w:color w:val="000000"/>
                <w:sz w:val="20"/>
                <w:szCs w:val="20"/>
              </w:rPr>
              <w:t>1.1.</w:t>
            </w:r>
          </w:p>
        </w:tc>
        <w:tc>
          <w:tcPr>
            <w:tcW w:w="2835" w:type="dxa"/>
            <w:tcBorders>
              <w:top w:val="nil"/>
              <w:left w:val="nil"/>
              <w:bottom w:val="single" w:color="auto" w:sz="4" w:space="0"/>
              <w:right w:val="single" w:color="auto" w:sz="4" w:space="0"/>
            </w:tcBorders>
            <w:shd w:val="clear" w:color="auto" w:fill="FFFFFF" w:themeFill="background1"/>
            <w:vAlign w:val="center"/>
          </w:tcPr>
          <w:p w14:paraId="21E99B8E">
            <w:pPr>
              <w:rPr>
                <w:rFonts w:eastAsia="Times New Roman" w:cs="Calibri"/>
                <w:b/>
                <w:bCs/>
                <w:color w:val="000000"/>
                <w:sz w:val="20"/>
                <w:szCs w:val="20"/>
              </w:rPr>
            </w:pPr>
            <w:r>
              <w:rPr>
                <w:rFonts w:eastAsia="Times New Roman" w:cs="Calibri"/>
                <w:b/>
                <w:bCs/>
                <w:color w:val="000000"/>
                <w:sz w:val="20"/>
                <w:szCs w:val="20"/>
              </w:rPr>
              <w:t>Turistička pristojba - izvorni prihodi</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3C07225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95.000,00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068A027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85.000,00</w:t>
            </w:r>
          </w:p>
        </w:tc>
        <w:tc>
          <w:tcPr>
            <w:tcW w:w="985" w:type="dxa"/>
            <w:gridSpan w:val="2"/>
            <w:tcBorders>
              <w:top w:val="nil"/>
              <w:left w:val="nil"/>
              <w:bottom w:val="single" w:color="auto" w:sz="4" w:space="0"/>
              <w:right w:val="single" w:color="auto" w:sz="4" w:space="0"/>
            </w:tcBorders>
            <w:shd w:val="clear" w:color="auto" w:fill="FFFFFF" w:themeFill="background1"/>
            <w:noWrap/>
            <w:vAlign w:val="center"/>
          </w:tcPr>
          <w:p w14:paraId="6215DF6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89,47</w:t>
            </w:r>
          </w:p>
        </w:tc>
        <w:tc>
          <w:tcPr>
            <w:tcW w:w="687" w:type="dxa"/>
            <w:tcBorders>
              <w:top w:val="nil"/>
              <w:left w:val="nil"/>
              <w:bottom w:val="single" w:color="auto" w:sz="4" w:space="0"/>
              <w:right w:val="single" w:color="auto" w:sz="4" w:space="0"/>
            </w:tcBorders>
            <w:shd w:val="clear" w:color="auto" w:fill="FFFFFF" w:themeFill="background1"/>
            <w:vAlign w:val="center"/>
          </w:tcPr>
          <w:p w14:paraId="5DC5974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66,41</w:t>
            </w:r>
          </w:p>
        </w:tc>
      </w:tr>
      <w:tr w14:paraId="2C15DF8A">
        <w:tblPrEx>
          <w:tblCellMar>
            <w:top w:w="0" w:type="dxa"/>
            <w:left w:w="108" w:type="dxa"/>
            <w:bottom w:w="0" w:type="dxa"/>
            <w:right w:w="108" w:type="dxa"/>
          </w:tblCellMar>
        </w:tblPrEx>
        <w:trPr>
          <w:trHeight w:val="70" w:hRule="atLeast"/>
        </w:trPr>
        <w:tc>
          <w:tcPr>
            <w:tcW w:w="392" w:type="dxa"/>
            <w:tcBorders>
              <w:top w:val="nil"/>
              <w:left w:val="single" w:color="auto" w:sz="4" w:space="0"/>
              <w:bottom w:val="single" w:color="auto" w:sz="4" w:space="0"/>
              <w:right w:val="single" w:color="auto" w:sz="4" w:space="0"/>
            </w:tcBorders>
            <w:shd w:val="clear" w:color="auto" w:fill="FFFFFF" w:themeFill="background1"/>
            <w:noWrap/>
            <w:vAlign w:val="center"/>
          </w:tcPr>
          <w:p w14:paraId="7842AC5B">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FFFFFF" w:themeFill="background1"/>
            <w:vAlign w:val="center"/>
          </w:tcPr>
          <w:p w14:paraId="4179AE19">
            <w:pPr>
              <w:rPr>
                <w:rFonts w:eastAsia="Times New Roman" w:cs="Calibri"/>
                <w:b/>
                <w:bCs/>
                <w:color w:val="000000"/>
                <w:sz w:val="20"/>
                <w:szCs w:val="20"/>
              </w:rPr>
            </w:pPr>
            <w:r>
              <w:rPr>
                <w:rFonts w:eastAsia="Times New Roman" w:cs="Calibri"/>
                <w:b/>
                <w:bCs/>
                <w:color w:val="000000"/>
                <w:sz w:val="20"/>
                <w:szCs w:val="20"/>
              </w:rPr>
              <w:t>1.2.</w:t>
            </w:r>
          </w:p>
        </w:tc>
        <w:tc>
          <w:tcPr>
            <w:tcW w:w="2835" w:type="dxa"/>
            <w:tcBorders>
              <w:top w:val="nil"/>
              <w:left w:val="nil"/>
              <w:bottom w:val="single" w:color="auto" w:sz="4" w:space="0"/>
              <w:right w:val="single" w:color="auto" w:sz="4" w:space="0"/>
            </w:tcBorders>
            <w:shd w:val="clear" w:color="auto" w:fill="FFFFFF" w:themeFill="background1"/>
            <w:vAlign w:val="center"/>
          </w:tcPr>
          <w:p w14:paraId="111A4AC8">
            <w:pPr>
              <w:rPr>
                <w:rFonts w:eastAsia="Times New Roman" w:cs="Calibri"/>
                <w:b/>
                <w:bCs/>
                <w:color w:val="000000"/>
                <w:sz w:val="20"/>
                <w:szCs w:val="20"/>
              </w:rPr>
            </w:pPr>
            <w:r>
              <w:rPr>
                <w:rFonts w:eastAsia="Times New Roman" w:cs="Calibri"/>
                <w:b/>
                <w:bCs/>
                <w:color w:val="000000"/>
                <w:sz w:val="20"/>
                <w:szCs w:val="20"/>
              </w:rPr>
              <w:t>Članarina-izvorni prihodi</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29AF85C1">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735139C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9.000,00</w:t>
            </w:r>
          </w:p>
        </w:tc>
        <w:tc>
          <w:tcPr>
            <w:tcW w:w="985" w:type="dxa"/>
            <w:gridSpan w:val="2"/>
            <w:tcBorders>
              <w:top w:val="nil"/>
              <w:left w:val="nil"/>
              <w:bottom w:val="single" w:color="auto" w:sz="4" w:space="0"/>
              <w:right w:val="single" w:color="auto" w:sz="4" w:space="0"/>
            </w:tcBorders>
            <w:shd w:val="clear" w:color="auto" w:fill="FFFFFF" w:themeFill="background1"/>
            <w:noWrap/>
            <w:vAlign w:val="center"/>
          </w:tcPr>
          <w:p w14:paraId="50DEADAB">
            <w:pPr>
              <w:jc w:val="center"/>
              <w:rPr>
                <w:rFonts w:hint="default" w:eastAsia="Times New Roman" w:cs="Calibri"/>
                <w:b/>
                <w:color w:val="000000"/>
                <w:sz w:val="20"/>
                <w:szCs w:val="20"/>
                <w:lang w:val="hr-HR"/>
              </w:rPr>
            </w:pPr>
            <w:r>
              <w:rPr>
                <w:rFonts w:hint="default" w:eastAsia="Times New Roman" w:cs="Calibri"/>
                <w:b/>
                <w:color w:val="000000"/>
                <w:sz w:val="20"/>
                <w:szCs w:val="20"/>
                <w:lang w:val="hr-HR"/>
              </w:rPr>
              <w:t xml:space="preserve">      90,00</w:t>
            </w:r>
          </w:p>
        </w:tc>
        <w:tc>
          <w:tcPr>
            <w:tcW w:w="687" w:type="dxa"/>
            <w:tcBorders>
              <w:top w:val="nil"/>
              <w:left w:val="nil"/>
              <w:bottom w:val="single" w:color="auto" w:sz="4" w:space="0"/>
              <w:right w:val="single" w:color="auto" w:sz="4" w:space="0"/>
            </w:tcBorders>
            <w:shd w:val="clear" w:color="auto" w:fill="FFFFFF" w:themeFill="background1"/>
            <w:vAlign w:val="center"/>
          </w:tcPr>
          <w:p w14:paraId="7144771D">
            <w:pPr>
              <w:jc w:val="center"/>
              <w:rPr>
                <w:rFonts w:hint="default" w:eastAsia="Times New Roman" w:cs="Calibri"/>
                <w:b/>
                <w:color w:val="000000"/>
                <w:sz w:val="20"/>
                <w:szCs w:val="20"/>
                <w:lang w:val="hr-HR"/>
              </w:rPr>
            </w:pPr>
            <w:r>
              <w:rPr>
                <w:rFonts w:hint="default" w:eastAsia="Times New Roman" w:cs="Calibri"/>
                <w:b/>
                <w:color w:val="000000"/>
                <w:sz w:val="20"/>
                <w:szCs w:val="20"/>
                <w:lang w:val="hr-HR"/>
              </w:rPr>
              <w:t xml:space="preserve">         7,03</w:t>
            </w:r>
          </w:p>
        </w:tc>
      </w:tr>
      <w:tr w14:paraId="128F52B4">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noWrap/>
            <w:vAlign w:val="center"/>
          </w:tcPr>
          <w:p w14:paraId="60435A99">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noWrap/>
            <w:vAlign w:val="center"/>
          </w:tcPr>
          <w:p w14:paraId="1C71D01D">
            <w:pPr>
              <w:rPr>
                <w:rFonts w:eastAsia="Times New Roman" w:cs="Calibri"/>
                <w:b/>
                <w:bCs/>
                <w:color w:val="000000"/>
                <w:sz w:val="20"/>
                <w:szCs w:val="20"/>
              </w:rPr>
            </w:pPr>
            <w:r>
              <w:rPr>
                <w:rFonts w:eastAsia="Times New Roman" w:cs="Calibri"/>
                <w:b/>
                <w:bCs/>
                <w:color w:val="000000"/>
                <w:sz w:val="20"/>
                <w:szCs w:val="20"/>
              </w:rPr>
              <w:t> 1.3.</w:t>
            </w:r>
          </w:p>
        </w:tc>
        <w:tc>
          <w:tcPr>
            <w:tcW w:w="2835" w:type="dxa"/>
            <w:tcBorders>
              <w:top w:val="nil"/>
              <w:left w:val="nil"/>
              <w:bottom w:val="single" w:color="auto" w:sz="4" w:space="0"/>
              <w:right w:val="single" w:color="auto" w:sz="4" w:space="0"/>
            </w:tcBorders>
            <w:shd w:val="clear" w:color="auto" w:fill="FFFFFF" w:themeFill="background1"/>
            <w:noWrap/>
            <w:vAlign w:val="center"/>
          </w:tcPr>
          <w:p w14:paraId="26E59A09">
            <w:pPr>
              <w:rPr>
                <w:rFonts w:eastAsia="Times New Roman" w:cs="Calibri"/>
                <w:b/>
                <w:bCs/>
                <w:color w:val="000000"/>
                <w:sz w:val="20"/>
                <w:szCs w:val="20"/>
              </w:rPr>
            </w:pPr>
            <w:r>
              <w:rPr>
                <w:rFonts w:eastAsia="Times New Roman" w:cs="Calibri"/>
                <w:b/>
                <w:bCs/>
                <w:color w:val="000000"/>
                <w:sz w:val="20"/>
                <w:szCs w:val="20"/>
              </w:rPr>
              <w:t>Ostali prihodi,donacije,potpore i najam bankomata</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0264B32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0B48B55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4.000,00</w:t>
            </w:r>
          </w:p>
        </w:tc>
        <w:tc>
          <w:tcPr>
            <w:tcW w:w="985" w:type="dxa"/>
            <w:gridSpan w:val="2"/>
            <w:tcBorders>
              <w:top w:val="nil"/>
              <w:left w:val="nil"/>
              <w:bottom w:val="single" w:color="auto" w:sz="4" w:space="0"/>
              <w:right w:val="single" w:color="auto" w:sz="4" w:space="0"/>
            </w:tcBorders>
            <w:shd w:val="clear" w:color="auto" w:fill="FFFFFF" w:themeFill="background1"/>
            <w:noWrap/>
            <w:vAlign w:val="center"/>
          </w:tcPr>
          <w:p w14:paraId="4127F1C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100,00</w:t>
            </w:r>
          </w:p>
        </w:tc>
        <w:tc>
          <w:tcPr>
            <w:tcW w:w="687" w:type="dxa"/>
            <w:tcBorders>
              <w:top w:val="nil"/>
              <w:left w:val="nil"/>
              <w:bottom w:val="single" w:color="auto" w:sz="4" w:space="0"/>
              <w:right w:val="single" w:color="auto" w:sz="4" w:space="0"/>
            </w:tcBorders>
            <w:shd w:val="clear" w:color="auto" w:fill="FFFFFF" w:themeFill="background1"/>
            <w:vAlign w:val="center"/>
          </w:tcPr>
          <w:p w14:paraId="5558B00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3,12</w:t>
            </w:r>
          </w:p>
        </w:tc>
      </w:tr>
      <w:tr w14:paraId="3AD8E5FB">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noWrap/>
            <w:vAlign w:val="center"/>
          </w:tcPr>
          <w:p w14:paraId="35137002">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noWrap/>
            <w:vAlign w:val="center"/>
          </w:tcPr>
          <w:p w14:paraId="5B717701">
            <w:pPr>
              <w:rPr>
                <w:rFonts w:eastAsia="Times New Roman" w:cs="Calibri"/>
                <w:b/>
                <w:bCs/>
                <w:color w:val="000000"/>
                <w:sz w:val="20"/>
                <w:szCs w:val="20"/>
              </w:rPr>
            </w:pPr>
            <w:r>
              <w:rPr>
                <w:rFonts w:eastAsia="Times New Roman" w:cs="Calibri"/>
                <w:b/>
                <w:bCs/>
                <w:color w:val="000000"/>
                <w:sz w:val="20"/>
                <w:szCs w:val="20"/>
              </w:rPr>
              <w:t> 1.4.</w:t>
            </w:r>
          </w:p>
        </w:tc>
        <w:tc>
          <w:tcPr>
            <w:tcW w:w="2835" w:type="dxa"/>
            <w:tcBorders>
              <w:top w:val="nil"/>
              <w:left w:val="nil"/>
              <w:bottom w:val="single" w:color="auto" w:sz="4" w:space="0"/>
              <w:right w:val="single" w:color="auto" w:sz="4" w:space="0"/>
            </w:tcBorders>
            <w:shd w:val="clear" w:color="auto" w:fill="FFFFFF" w:themeFill="background1"/>
            <w:noWrap/>
            <w:vAlign w:val="center"/>
          </w:tcPr>
          <w:p w14:paraId="2EE08100">
            <w:pPr>
              <w:rPr>
                <w:rFonts w:eastAsia="Times New Roman" w:cs="Calibri"/>
                <w:b/>
                <w:bCs/>
                <w:color w:val="000000"/>
                <w:sz w:val="20"/>
                <w:szCs w:val="20"/>
              </w:rPr>
            </w:pPr>
            <w:r>
              <w:rPr>
                <w:rFonts w:eastAsia="Times New Roman" w:cs="Calibri"/>
                <w:b/>
                <w:bCs/>
                <w:color w:val="000000"/>
                <w:sz w:val="20"/>
                <w:szCs w:val="20"/>
              </w:rPr>
              <w:t>Preneseni prihod iz prethodne godine</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72FC0ED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65.000,00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497F7591">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30.000,00</w:t>
            </w:r>
          </w:p>
        </w:tc>
        <w:tc>
          <w:tcPr>
            <w:tcW w:w="985" w:type="dxa"/>
            <w:gridSpan w:val="2"/>
            <w:tcBorders>
              <w:top w:val="nil"/>
              <w:left w:val="nil"/>
              <w:bottom w:val="single" w:color="auto" w:sz="4" w:space="0"/>
              <w:right w:val="single" w:color="auto" w:sz="4" w:space="0"/>
            </w:tcBorders>
            <w:shd w:val="clear" w:color="auto" w:fill="FFFFFF" w:themeFill="background1"/>
            <w:noWrap/>
            <w:vAlign w:val="center"/>
          </w:tcPr>
          <w:p w14:paraId="52542EE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46,15</w:t>
            </w:r>
          </w:p>
        </w:tc>
        <w:tc>
          <w:tcPr>
            <w:tcW w:w="687" w:type="dxa"/>
            <w:tcBorders>
              <w:top w:val="nil"/>
              <w:left w:val="nil"/>
              <w:bottom w:val="single" w:color="auto" w:sz="4" w:space="0"/>
              <w:right w:val="single" w:color="auto" w:sz="4" w:space="0"/>
            </w:tcBorders>
            <w:shd w:val="clear" w:color="auto" w:fill="FFFFFF" w:themeFill="background1"/>
            <w:vAlign w:val="center"/>
          </w:tcPr>
          <w:p w14:paraId="398A7E1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23,44</w:t>
            </w:r>
          </w:p>
        </w:tc>
      </w:tr>
      <w:tr w14:paraId="54DC9385">
        <w:tblPrEx>
          <w:tblCellMar>
            <w:top w:w="0" w:type="dxa"/>
            <w:left w:w="108" w:type="dxa"/>
            <w:bottom w:w="0" w:type="dxa"/>
            <w:right w:w="108" w:type="dxa"/>
          </w:tblCellMar>
        </w:tblPrEx>
        <w:trPr>
          <w:trHeight w:val="312" w:hRule="atLeast"/>
        </w:trPr>
        <w:tc>
          <w:tcPr>
            <w:tcW w:w="1101" w:type="dxa"/>
            <w:gridSpan w:val="2"/>
            <w:tcBorders>
              <w:top w:val="single" w:color="auto" w:sz="4" w:space="0"/>
              <w:left w:val="single" w:color="auto" w:sz="4" w:space="0"/>
              <w:bottom w:val="single" w:color="auto" w:sz="4" w:space="0"/>
              <w:right w:val="single" w:color="auto" w:sz="4" w:space="0"/>
            </w:tcBorders>
            <w:shd w:val="clear" w:color="000000" w:fill="003764"/>
            <w:vAlign w:val="center"/>
          </w:tcPr>
          <w:p w14:paraId="1684BF14">
            <w:pPr>
              <w:rPr>
                <w:rFonts w:eastAsia="Times New Roman" w:cs="Calibri"/>
                <w:b/>
                <w:bCs/>
                <w:color w:val="FFFFFF"/>
                <w:sz w:val="20"/>
                <w:szCs w:val="20"/>
              </w:rPr>
            </w:pPr>
            <w:r>
              <w:rPr>
                <w:rFonts w:eastAsia="Times New Roman" w:cs="Calibri"/>
                <w:b/>
                <w:bCs/>
                <w:color w:val="FFFFFF"/>
                <w:sz w:val="20"/>
                <w:szCs w:val="20"/>
              </w:rPr>
              <w:t> </w:t>
            </w:r>
          </w:p>
        </w:tc>
        <w:tc>
          <w:tcPr>
            <w:tcW w:w="2835" w:type="dxa"/>
            <w:tcBorders>
              <w:top w:val="nil"/>
              <w:left w:val="nil"/>
              <w:bottom w:val="single" w:color="auto" w:sz="4" w:space="0"/>
              <w:right w:val="single" w:color="auto" w:sz="4" w:space="0"/>
            </w:tcBorders>
            <w:shd w:val="clear" w:color="000000" w:fill="003764"/>
            <w:vAlign w:val="center"/>
          </w:tcPr>
          <w:p w14:paraId="74C445DB">
            <w:pPr>
              <w:rPr>
                <w:rFonts w:eastAsia="Times New Roman" w:cs="Calibri"/>
                <w:b/>
                <w:bCs/>
                <w:color w:val="FFFFFF"/>
                <w:sz w:val="20"/>
                <w:szCs w:val="20"/>
              </w:rPr>
            </w:pPr>
            <w:r>
              <w:rPr>
                <w:rFonts w:eastAsia="Times New Roman" w:cs="Calibri"/>
                <w:b/>
                <w:bCs/>
                <w:color w:val="FFFFFF"/>
                <w:sz w:val="20"/>
                <w:szCs w:val="20"/>
              </w:rPr>
              <w:t>UKUPNO PRIHODI</w:t>
            </w:r>
          </w:p>
        </w:tc>
        <w:tc>
          <w:tcPr>
            <w:tcW w:w="5811" w:type="dxa"/>
            <w:gridSpan w:val="5"/>
            <w:tcBorders>
              <w:top w:val="single" w:color="auto" w:sz="4" w:space="0"/>
              <w:left w:val="nil"/>
              <w:bottom w:val="single" w:color="auto" w:sz="4" w:space="0"/>
              <w:right w:val="single" w:color="auto" w:sz="4" w:space="0"/>
            </w:tcBorders>
            <w:shd w:val="clear" w:color="000000" w:fill="003764"/>
            <w:noWrap/>
            <w:vAlign w:val="center"/>
          </w:tcPr>
          <w:p w14:paraId="5B4AED12">
            <w:pPr>
              <w:rPr>
                <w:rFonts w:hint="default" w:eastAsia="Times New Roman" w:cs="Calibri"/>
                <w:b/>
                <w:bCs/>
                <w:color w:val="FFFFFF"/>
                <w:sz w:val="20"/>
                <w:szCs w:val="20"/>
                <w:lang w:val="hr-HR"/>
              </w:rPr>
            </w:pPr>
            <w:r>
              <w:rPr>
                <w:rFonts w:eastAsia="Times New Roman" w:cs="Calibri"/>
                <w:b/>
                <w:bCs/>
                <w:color w:val="FFFFFF"/>
                <w:sz w:val="20"/>
                <w:szCs w:val="20"/>
              </w:rPr>
              <w:t xml:space="preserve">                       </w:t>
            </w:r>
            <w:r>
              <w:rPr>
                <w:rFonts w:hint="default" w:eastAsia="Times New Roman" w:cs="Calibri"/>
                <w:b/>
                <w:bCs/>
                <w:color w:val="FFFFFF"/>
                <w:sz w:val="20"/>
                <w:szCs w:val="20"/>
                <w:lang w:val="hr-HR"/>
              </w:rPr>
              <w:t>174.000,00</w:t>
            </w:r>
            <w:r>
              <w:rPr>
                <w:rFonts w:eastAsia="Times New Roman" w:cs="Calibri"/>
                <w:b/>
                <w:bCs/>
                <w:color w:val="FFFFFF"/>
                <w:sz w:val="20"/>
                <w:szCs w:val="20"/>
              </w:rPr>
              <w:t xml:space="preserve">                </w:t>
            </w:r>
            <w:r>
              <w:rPr>
                <w:rFonts w:hint="default" w:eastAsia="Times New Roman" w:cs="Calibri"/>
                <w:b/>
                <w:bCs/>
                <w:color w:val="FFFFFF"/>
                <w:sz w:val="20"/>
                <w:szCs w:val="20"/>
                <w:lang w:val="hr-HR"/>
              </w:rPr>
              <w:t xml:space="preserve">      128.000,00            73,56         100</w:t>
            </w:r>
          </w:p>
        </w:tc>
      </w:tr>
      <w:tr w14:paraId="12CEF934">
        <w:tblPrEx>
          <w:tblCellMar>
            <w:top w:w="0" w:type="dxa"/>
            <w:left w:w="108" w:type="dxa"/>
            <w:bottom w:w="0" w:type="dxa"/>
            <w:right w:w="108" w:type="dxa"/>
          </w:tblCellMar>
        </w:tblPrEx>
        <w:trPr>
          <w:trHeight w:val="288" w:hRule="atLeast"/>
        </w:trPr>
        <w:tc>
          <w:tcPr>
            <w:tcW w:w="392" w:type="dxa"/>
            <w:tcBorders>
              <w:top w:val="nil"/>
              <w:left w:val="nil"/>
              <w:bottom w:val="nil"/>
              <w:right w:val="nil"/>
            </w:tcBorders>
            <w:shd w:val="clear" w:color="auto" w:fill="auto"/>
            <w:vAlign w:val="center"/>
          </w:tcPr>
          <w:p w14:paraId="01309F6D">
            <w:pPr>
              <w:jc w:val="right"/>
              <w:rPr>
                <w:rFonts w:eastAsia="Times New Roman" w:cs="Calibri"/>
                <w:b/>
                <w:bCs/>
                <w:color w:val="FFFFFF"/>
                <w:sz w:val="20"/>
                <w:szCs w:val="20"/>
              </w:rPr>
            </w:pPr>
          </w:p>
        </w:tc>
        <w:tc>
          <w:tcPr>
            <w:tcW w:w="709" w:type="dxa"/>
            <w:tcBorders>
              <w:top w:val="nil"/>
              <w:left w:val="nil"/>
              <w:bottom w:val="nil"/>
              <w:right w:val="nil"/>
            </w:tcBorders>
            <w:shd w:val="clear" w:color="auto" w:fill="auto"/>
            <w:vAlign w:val="center"/>
          </w:tcPr>
          <w:p w14:paraId="1B768311">
            <w:pPr>
              <w:rPr>
                <w:rFonts w:ascii="Times New Roman" w:hAnsi="Times New Roman" w:eastAsia="Times New Roman" w:cs="Times New Roman"/>
                <w:b/>
                <w:sz w:val="20"/>
                <w:szCs w:val="20"/>
              </w:rPr>
            </w:pPr>
          </w:p>
        </w:tc>
        <w:tc>
          <w:tcPr>
            <w:tcW w:w="2835" w:type="dxa"/>
            <w:tcBorders>
              <w:top w:val="nil"/>
              <w:left w:val="nil"/>
              <w:bottom w:val="nil"/>
              <w:right w:val="nil"/>
            </w:tcBorders>
            <w:shd w:val="clear" w:color="auto" w:fill="auto"/>
            <w:vAlign w:val="center"/>
          </w:tcPr>
          <w:p w14:paraId="59565560">
            <w:pPr>
              <w:rPr>
                <w:rFonts w:ascii="Times New Roman" w:hAnsi="Times New Roman" w:eastAsia="Times New Roman" w:cs="Times New Roman"/>
                <w:b/>
                <w:sz w:val="20"/>
                <w:szCs w:val="20"/>
              </w:rPr>
            </w:pPr>
          </w:p>
        </w:tc>
        <w:tc>
          <w:tcPr>
            <w:tcW w:w="4139" w:type="dxa"/>
            <w:gridSpan w:val="2"/>
            <w:tcBorders>
              <w:top w:val="nil"/>
              <w:left w:val="nil"/>
              <w:bottom w:val="nil"/>
              <w:right w:val="nil"/>
            </w:tcBorders>
            <w:shd w:val="clear" w:color="auto" w:fill="auto"/>
            <w:vAlign w:val="center"/>
          </w:tcPr>
          <w:p w14:paraId="6751AF1E">
            <w:pPr>
              <w:rPr>
                <w:rFonts w:ascii="Times New Roman" w:hAnsi="Times New Roman" w:eastAsia="Times New Roman" w:cs="Times New Roman"/>
                <w:b/>
                <w:sz w:val="20"/>
                <w:szCs w:val="20"/>
              </w:rPr>
            </w:pPr>
          </w:p>
        </w:tc>
        <w:tc>
          <w:tcPr>
            <w:tcW w:w="1672" w:type="dxa"/>
            <w:gridSpan w:val="3"/>
            <w:tcBorders>
              <w:top w:val="nil"/>
              <w:left w:val="nil"/>
              <w:bottom w:val="nil"/>
              <w:right w:val="nil"/>
            </w:tcBorders>
            <w:shd w:val="clear" w:color="auto" w:fill="auto"/>
            <w:vAlign w:val="center"/>
          </w:tcPr>
          <w:p w14:paraId="7D3102A5">
            <w:pPr>
              <w:rPr>
                <w:rFonts w:ascii="Times New Roman" w:hAnsi="Times New Roman" w:eastAsia="Times New Roman" w:cs="Times New Roman"/>
                <w:b/>
                <w:sz w:val="20"/>
                <w:szCs w:val="20"/>
              </w:rPr>
            </w:pPr>
          </w:p>
        </w:tc>
      </w:tr>
      <w:tr w14:paraId="1C7AA8AC">
        <w:tblPrEx>
          <w:tblCellMar>
            <w:top w:w="0" w:type="dxa"/>
            <w:left w:w="108" w:type="dxa"/>
            <w:bottom w:w="0" w:type="dxa"/>
            <w:right w:w="108" w:type="dxa"/>
          </w:tblCellMar>
        </w:tblPrEx>
        <w:trPr>
          <w:trHeight w:val="360" w:hRule="atLeast"/>
        </w:trPr>
        <w:tc>
          <w:tcPr>
            <w:tcW w:w="392" w:type="dxa"/>
            <w:tcBorders>
              <w:top w:val="nil"/>
              <w:left w:val="nil"/>
              <w:bottom w:val="nil"/>
              <w:right w:val="nil"/>
            </w:tcBorders>
            <w:shd w:val="clear" w:color="auto" w:fill="auto"/>
            <w:noWrap/>
            <w:vAlign w:val="center"/>
          </w:tcPr>
          <w:p w14:paraId="44E1DEE3">
            <w:pPr>
              <w:rPr>
                <w:rFonts w:ascii="Times New Roman" w:hAnsi="Times New Roman" w:eastAsia="Times New Roman" w:cs="Times New Roman"/>
                <w:b/>
                <w:sz w:val="20"/>
                <w:szCs w:val="20"/>
              </w:rPr>
            </w:pPr>
          </w:p>
        </w:tc>
        <w:tc>
          <w:tcPr>
            <w:tcW w:w="709" w:type="dxa"/>
            <w:tcBorders>
              <w:top w:val="nil"/>
              <w:left w:val="nil"/>
              <w:bottom w:val="nil"/>
              <w:right w:val="nil"/>
            </w:tcBorders>
            <w:shd w:val="clear" w:color="auto" w:fill="auto"/>
            <w:noWrap/>
            <w:vAlign w:val="bottom"/>
          </w:tcPr>
          <w:p w14:paraId="13DE2F6B">
            <w:pPr>
              <w:rPr>
                <w:rFonts w:ascii="Times New Roman" w:hAnsi="Times New Roman" w:eastAsia="Times New Roman" w:cs="Times New Roman"/>
                <w:b/>
                <w:sz w:val="20"/>
                <w:szCs w:val="20"/>
              </w:rPr>
            </w:pPr>
          </w:p>
          <w:p w14:paraId="53643404">
            <w:pPr>
              <w:rPr>
                <w:rFonts w:ascii="Times New Roman" w:hAnsi="Times New Roman" w:eastAsia="Times New Roman" w:cs="Times New Roman"/>
                <w:b/>
                <w:sz w:val="20"/>
                <w:szCs w:val="20"/>
              </w:rPr>
            </w:pPr>
          </w:p>
        </w:tc>
        <w:tc>
          <w:tcPr>
            <w:tcW w:w="2835" w:type="dxa"/>
            <w:tcBorders>
              <w:top w:val="nil"/>
              <w:left w:val="nil"/>
              <w:bottom w:val="nil"/>
              <w:right w:val="nil"/>
            </w:tcBorders>
            <w:shd w:val="clear" w:color="auto" w:fill="auto"/>
            <w:noWrap/>
            <w:vAlign w:val="bottom"/>
          </w:tcPr>
          <w:p w14:paraId="442AFDE4">
            <w:pPr>
              <w:rPr>
                <w:rFonts w:ascii="Times New Roman" w:hAnsi="Times New Roman" w:eastAsia="Times New Roman" w:cs="Times New Roman"/>
                <w:b/>
                <w:sz w:val="20"/>
                <w:szCs w:val="20"/>
              </w:rPr>
            </w:pPr>
          </w:p>
        </w:tc>
        <w:tc>
          <w:tcPr>
            <w:tcW w:w="4139" w:type="dxa"/>
            <w:gridSpan w:val="2"/>
            <w:tcBorders>
              <w:top w:val="nil"/>
              <w:left w:val="nil"/>
              <w:bottom w:val="nil"/>
              <w:right w:val="nil"/>
            </w:tcBorders>
            <w:shd w:val="clear" w:color="auto" w:fill="auto"/>
            <w:noWrap/>
            <w:vAlign w:val="bottom"/>
          </w:tcPr>
          <w:p w14:paraId="081FA0B3">
            <w:pPr>
              <w:rPr>
                <w:rFonts w:ascii="Times New Roman" w:hAnsi="Times New Roman" w:eastAsia="Times New Roman" w:cs="Times New Roman"/>
                <w:b/>
                <w:sz w:val="20"/>
                <w:szCs w:val="20"/>
              </w:rPr>
            </w:pPr>
          </w:p>
        </w:tc>
        <w:tc>
          <w:tcPr>
            <w:tcW w:w="1672" w:type="dxa"/>
            <w:gridSpan w:val="3"/>
            <w:tcBorders>
              <w:top w:val="nil"/>
              <w:left w:val="nil"/>
              <w:bottom w:val="nil"/>
              <w:right w:val="nil"/>
            </w:tcBorders>
            <w:shd w:val="clear" w:color="auto" w:fill="auto"/>
            <w:noWrap/>
            <w:vAlign w:val="bottom"/>
          </w:tcPr>
          <w:p w14:paraId="62EE5F91">
            <w:pPr>
              <w:rPr>
                <w:rFonts w:ascii="Times New Roman" w:hAnsi="Times New Roman" w:eastAsia="Times New Roman" w:cs="Times New Roman"/>
                <w:b/>
                <w:sz w:val="20"/>
                <w:szCs w:val="20"/>
              </w:rPr>
            </w:pPr>
          </w:p>
        </w:tc>
      </w:tr>
      <w:tr w14:paraId="05299DE7">
        <w:tblPrEx>
          <w:tblCellMar>
            <w:top w:w="0" w:type="dxa"/>
            <w:left w:w="108" w:type="dxa"/>
            <w:bottom w:w="0" w:type="dxa"/>
            <w:right w:w="108" w:type="dxa"/>
          </w:tblCellMar>
        </w:tblPrEx>
        <w:trPr>
          <w:trHeight w:val="552" w:hRule="atLeast"/>
        </w:trPr>
        <w:tc>
          <w:tcPr>
            <w:tcW w:w="392" w:type="dxa"/>
            <w:tcBorders>
              <w:top w:val="single" w:color="auto" w:sz="4" w:space="0"/>
              <w:left w:val="single" w:color="auto" w:sz="4" w:space="0"/>
              <w:bottom w:val="single" w:color="auto" w:sz="4" w:space="0"/>
              <w:right w:val="single" w:color="auto" w:sz="4" w:space="0"/>
            </w:tcBorders>
            <w:shd w:val="clear" w:color="000000" w:fill="DDEBF7"/>
            <w:vAlign w:val="center"/>
          </w:tcPr>
          <w:p w14:paraId="2984E389">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single" w:color="auto" w:sz="4" w:space="0"/>
              <w:left w:val="nil"/>
              <w:bottom w:val="single" w:color="auto" w:sz="4" w:space="0"/>
              <w:right w:val="single" w:color="auto" w:sz="4" w:space="0"/>
            </w:tcBorders>
            <w:shd w:val="clear" w:color="000000" w:fill="DDEBF7"/>
            <w:vAlign w:val="center"/>
          </w:tcPr>
          <w:p w14:paraId="2B86F718">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single" w:color="auto" w:sz="4" w:space="0"/>
              <w:left w:val="nil"/>
              <w:bottom w:val="single" w:color="auto" w:sz="4" w:space="0"/>
              <w:right w:val="single" w:color="auto" w:sz="4" w:space="0"/>
            </w:tcBorders>
            <w:shd w:val="clear" w:color="000000" w:fill="DDEBF7"/>
            <w:vAlign w:val="center"/>
          </w:tcPr>
          <w:p w14:paraId="43A973DA">
            <w:pPr>
              <w:jc w:val="center"/>
              <w:rPr>
                <w:rFonts w:eastAsia="Times New Roman" w:cs="Calibri"/>
                <w:b/>
                <w:bCs/>
                <w:color w:val="000000"/>
                <w:sz w:val="20"/>
                <w:szCs w:val="20"/>
              </w:rPr>
            </w:pPr>
            <w:r>
              <w:rPr>
                <w:rFonts w:eastAsia="Times New Roman" w:cs="Calibri"/>
                <w:b/>
                <w:bCs/>
                <w:color w:val="000000"/>
                <w:sz w:val="20"/>
                <w:szCs w:val="20"/>
              </w:rPr>
              <w:t>AKTIVNOSTI</w:t>
            </w:r>
          </w:p>
        </w:tc>
        <w:tc>
          <w:tcPr>
            <w:tcW w:w="2126" w:type="dxa"/>
            <w:tcBorders>
              <w:top w:val="single" w:color="auto" w:sz="4" w:space="0"/>
              <w:left w:val="nil"/>
              <w:bottom w:val="single" w:color="auto" w:sz="4" w:space="0"/>
              <w:right w:val="single" w:color="auto" w:sz="4" w:space="0"/>
            </w:tcBorders>
            <w:shd w:val="clear" w:color="000000" w:fill="DDEBF7"/>
            <w:vAlign w:val="center"/>
          </w:tcPr>
          <w:p w14:paraId="3CD35B2F">
            <w:pPr>
              <w:jc w:val="center"/>
              <w:rPr>
                <w:rFonts w:eastAsia="Times New Roman" w:cs="Calibri"/>
                <w:b/>
                <w:bCs/>
                <w:color w:val="000000"/>
                <w:sz w:val="20"/>
                <w:szCs w:val="20"/>
              </w:rPr>
            </w:pPr>
            <w:r>
              <w:rPr>
                <w:rFonts w:eastAsia="Times New Roman" w:cs="Calibri"/>
                <w:b/>
                <w:bCs/>
                <w:color w:val="000000"/>
                <w:sz w:val="20"/>
                <w:szCs w:val="20"/>
              </w:rPr>
              <w:t>Plan za 202</w:t>
            </w:r>
            <w:r>
              <w:rPr>
                <w:rFonts w:hint="default" w:eastAsia="Times New Roman" w:cs="Calibri"/>
                <w:b/>
                <w:bCs/>
                <w:color w:val="000000"/>
                <w:sz w:val="20"/>
                <w:szCs w:val="20"/>
                <w:lang w:val="hr-HR"/>
              </w:rPr>
              <w:t>5</w:t>
            </w:r>
            <w:r>
              <w:rPr>
                <w:rFonts w:eastAsia="Times New Roman" w:cs="Calibri"/>
                <w:b/>
                <w:bCs/>
                <w:color w:val="000000"/>
                <w:sz w:val="20"/>
                <w:szCs w:val="20"/>
              </w:rPr>
              <w:t>.</w:t>
            </w:r>
          </w:p>
          <w:p w14:paraId="35795AC5">
            <w:pPr>
              <w:jc w:val="center"/>
              <w:rPr>
                <w:rFonts w:eastAsia="Times New Roman" w:cs="Calibri"/>
                <w:b/>
                <w:bCs/>
                <w:color w:val="000000"/>
                <w:sz w:val="20"/>
                <w:szCs w:val="20"/>
              </w:rPr>
            </w:pPr>
          </w:p>
        </w:tc>
        <w:tc>
          <w:tcPr>
            <w:tcW w:w="2013" w:type="dxa"/>
            <w:tcBorders>
              <w:top w:val="single" w:color="auto" w:sz="4" w:space="0"/>
              <w:left w:val="nil"/>
              <w:bottom w:val="single" w:color="auto" w:sz="4" w:space="0"/>
              <w:right w:val="single" w:color="auto" w:sz="4" w:space="0"/>
            </w:tcBorders>
            <w:shd w:val="clear" w:color="000000" w:fill="DDEBF7"/>
            <w:vAlign w:val="center"/>
          </w:tcPr>
          <w:p w14:paraId="254D02DC">
            <w:pPr>
              <w:jc w:val="center"/>
              <w:rPr>
                <w:rFonts w:eastAsia="Times New Roman" w:cs="Calibri"/>
                <w:b/>
                <w:bCs/>
                <w:color w:val="000000"/>
                <w:sz w:val="20"/>
                <w:szCs w:val="20"/>
              </w:rPr>
            </w:pPr>
            <w:r>
              <w:rPr>
                <w:rFonts w:eastAsia="Times New Roman" w:cs="Calibri"/>
                <w:b/>
                <w:bCs/>
                <w:color w:val="000000"/>
                <w:sz w:val="20"/>
                <w:szCs w:val="20"/>
              </w:rPr>
              <w:t>Plan za 202</w:t>
            </w:r>
            <w:r>
              <w:rPr>
                <w:rFonts w:hint="default" w:eastAsia="Times New Roman" w:cs="Calibri"/>
                <w:b/>
                <w:bCs/>
                <w:color w:val="000000"/>
                <w:sz w:val="20"/>
                <w:szCs w:val="20"/>
                <w:lang w:val="hr-HR"/>
              </w:rPr>
              <w:t>6</w:t>
            </w:r>
            <w:r>
              <w:rPr>
                <w:rFonts w:eastAsia="Times New Roman" w:cs="Calibri"/>
                <w:b/>
                <w:bCs/>
                <w:color w:val="000000"/>
                <w:sz w:val="20"/>
                <w:szCs w:val="20"/>
              </w:rPr>
              <w:t>.</w:t>
            </w:r>
          </w:p>
          <w:p w14:paraId="5F2BD62F">
            <w:pPr>
              <w:jc w:val="center"/>
              <w:rPr>
                <w:rFonts w:eastAsia="Times New Roman" w:cs="Calibri"/>
                <w:b/>
                <w:bCs/>
                <w:color w:val="000000"/>
                <w:sz w:val="20"/>
                <w:szCs w:val="20"/>
              </w:rPr>
            </w:pPr>
          </w:p>
        </w:tc>
        <w:tc>
          <w:tcPr>
            <w:tcW w:w="964" w:type="dxa"/>
            <w:tcBorders>
              <w:top w:val="single" w:color="auto" w:sz="4" w:space="0"/>
              <w:left w:val="nil"/>
              <w:bottom w:val="single" w:color="auto" w:sz="4" w:space="0"/>
              <w:right w:val="single" w:color="auto" w:sz="4" w:space="0"/>
            </w:tcBorders>
            <w:shd w:val="clear" w:color="000000" w:fill="DDEBF7"/>
            <w:vAlign w:val="center"/>
          </w:tcPr>
          <w:p w14:paraId="7A959CD5">
            <w:pPr>
              <w:jc w:val="center"/>
              <w:rPr>
                <w:rFonts w:hint="default" w:eastAsia="Times New Roman" w:cs="Calibri"/>
                <w:b/>
                <w:bCs/>
                <w:color w:val="000000"/>
                <w:sz w:val="20"/>
                <w:szCs w:val="20"/>
                <w:lang w:val="hr-HR"/>
              </w:rPr>
            </w:pPr>
            <w:r>
              <w:rPr>
                <w:rFonts w:eastAsia="Times New Roman" w:cs="Calibri"/>
                <w:b/>
                <w:bCs/>
                <w:color w:val="000000"/>
                <w:sz w:val="20"/>
                <w:szCs w:val="20"/>
              </w:rPr>
              <w:t>PLAN 202</w:t>
            </w:r>
            <w:r>
              <w:rPr>
                <w:rFonts w:hint="default" w:eastAsia="Times New Roman" w:cs="Calibri"/>
                <w:b/>
                <w:bCs/>
                <w:color w:val="000000"/>
                <w:sz w:val="20"/>
                <w:szCs w:val="20"/>
                <w:lang w:val="hr-HR"/>
              </w:rPr>
              <w:t>6</w:t>
            </w:r>
            <w:r>
              <w:rPr>
                <w:rFonts w:eastAsia="Times New Roman" w:cs="Calibri"/>
                <w:b/>
                <w:bCs/>
                <w:color w:val="000000"/>
                <w:sz w:val="20"/>
                <w:szCs w:val="20"/>
              </w:rPr>
              <w:t>/202</w:t>
            </w:r>
            <w:r>
              <w:rPr>
                <w:rFonts w:hint="default" w:eastAsia="Times New Roman" w:cs="Calibri"/>
                <w:b/>
                <w:bCs/>
                <w:color w:val="000000"/>
                <w:sz w:val="20"/>
                <w:szCs w:val="20"/>
                <w:lang w:val="hr-HR"/>
              </w:rPr>
              <w:t>5</w:t>
            </w:r>
          </w:p>
        </w:tc>
        <w:tc>
          <w:tcPr>
            <w:tcW w:w="708" w:type="dxa"/>
            <w:gridSpan w:val="2"/>
            <w:tcBorders>
              <w:top w:val="single" w:color="auto" w:sz="4" w:space="0"/>
              <w:left w:val="nil"/>
              <w:bottom w:val="single" w:color="auto" w:sz="4" w:space="0"/>
              <w:right w:val="single" w:color="auto" w:sz="4" w:space="0"/>
            </w:tcBorders>
            <w:shd w:val="clear" w:color="000000" w:fill="DDEBF7"/>
            <w:vAlign w:val="center"/>
          </w:tcPr>
          <w:p w14:paraId="493C0F81">
            <w:pPr>
              <w:jc w:val="center"/>
              <w:rPr>
                <w:rFonts w:eastAsia="Times New Roman" w:cs="Calibri"/>
                <w:b/>
                <w:bCs/>
                <w:color w:val="000000"/>
                <w:sz w:val="20"/>
                <w:szCs w:val="20"/>
              </w:rPr>
            </w:pPr>
            <w:r>
              <w:rPr>
                <w:rFonts w:eastAsia="Times New Roman" w:cs="Calibri"/>
                <w:b/>
                <w:bCs/>
                <w:color w:val="000000"/>
                <w:sz w:val="20"/>
                <w:szCs w:val="20"/>
              </w:rPr>
              <w:t>udio %</w:t>
            </w:r>
          </w:p>
        </w:tc>
      </w:tr>
      <w:tr w14:paraId="190E37E4">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5605790B">
            <w:pPr>
              <w:rPr>
                <w:rFonts w:eastAsia="Times New Roman" w:cs="Calibri"/>
                <w:b/>
                <w:bCs/>
                <w:color w:val="000000"/>
                <w:sz w:val="20"/>
                <w:szCs w:val="20"/>
              </w:rPr>
            </w:pPr>
            <w:r>
              <w:rPr>
                <w:rFonts w:eastAsia="Times New Roman" w:cs="Calibri"/>
                <w:b/>
                <w:bCs/>
                <w:color w:val="000000"/>
                <w:sz w:val="20"/>
                <w:szCs w:val="20"/>
              </w:rPr>
              <w:t>1.</w:t>
            </w:r>
          </w:p>
        </w:tc>
        <w:tc>
          <w:tcPr>
            <w:tcW w:w="709" w:type="dxa"/>
            <w:tcBorders>
              <w:top w:val="nil"/>
              <w:left w:val="nil"/>
              <w:bottom w:val="single" w:color="auto" w:sz="4" w:space="0"/>
              <w:right w:val="single" w:color="auto" w:sz="4" w:space="0"/>
            </w:tcBorders>
            <w:shd w:val="clear" w:color="000000" w:fill="DDEBF7"/>
            <w:vAlign w:val="center"/>
          </w:tcPr>
          <w:p w14:paraId="68F37554">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3E3B2786">
            <w:pPr>
              <w:rPr>
                <w:rFonts w:eastAsia="Times New Roman" w:cs="Calibri"/>
                <w:b/>
                <w:bCs/>
                <w:color w:val="000000"/>
                <w:sz w:val="20"/>
                <w:szCs w:val="20"/>
              </w:rPr>
            </w:pPr>
            <w:r>
              <w:rPr>
                <w:rFonts w:eastAsia="Times New Roman" w:cs="Calibri"/>
                <w:b/>
                <w:bCs/>
                <w:color w:val="000000"/>
                <w:sz w:val="20"/>
                <w:szCs w:val="20"/>
              </w:rPr>
              <w:t xml:space="preserve">ISTRAŽIVANJE I STRATEŠKO PLANIRANJE </w:t>
            </w:r>
          </w:p>
        </w:tc>
        <w:tc>
          <w:tcPr>
            <w:tcW w:w="2126" w:type="dxa"/>
            <w:tcBorders>
              <w:top w:val="nil"/>
              <w:left w:val="nil"/>
              <w:bottom w:val="single" w:color="auto" w:sz="4" w:space="0"/>
              <w:right w:val="single" w:color="auto" w:sz="4" w:space="0"/>
            </w:tcBorders>
            <w:shd w:val="clear" w:color="000000" w:fill="DDEBF7"/>
            <w:noWrap/>
            <w:vAlign w:val="center"/>
          </w:tcPr>
          <w:p w14:paraId="5492A64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6.000,00</w:t>
            </w:r>
          </w:p>
        </w:tc>
        <w:tc>
          <w:tcPr>
            <w:tcW w:w="2013" w:type="dxa"/>
            <w:tcBorders>
              <w:top w:val="nil"/>
              <w:left w:val="nil"/>
              <w:bottom w:val="single" w:color="auto" w:sz="4" w:space="0"/>
              <w:right w:val="single" w:color="auto" w:sz="4" w:space="0"/>
            </w:tcBorders>
            <w:shd w:val="clear" w:color="000000" w:fill="DDEBF7"/>
            <w:vAlign w:val="center"/>
          </w:tcPr>
          <w:p w14:paraId="29689B4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000000" w:fill="DDEBF7"/>
            <w:noWrap/>
            <w:vAlign w:val="center"/>
          </w:tcPr>
          <w:p w14:paraId="7953961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000000" w:fill="DDEBF7"/>
            <w:vAlign w:val="center"/>
          </w:tcPr>
          <w:p w14:paraId="3E40B437">
            <w:pPr>
              <w:jc w:val="right"/>
              <w:rPr>
                <w:rFonts w:eastAsia="Times New Roman" w:cs="Calibri"/>
                <w:b/>
                <w:color w:val="000000"/>
                <w:sz w:val="20"/>
                <w:szCs w:val="20"/>
              </w:rPr>
            </w:pPr>
            <w:r>
              <w:rPr>
                <w:rFonts w:eastAsia="Times New Roman" w:cs="Calibri"/>
                <w:b/>
                <w:color w:val="000000"/>
                <w:sz w:val="20"/>
                <w:szCs w:val="20"/>
              </w:rPr>
              <w:t>100</w:t>
            </w:r>
          </w:p>
        </w:tc>
      </w:tr>
      <w:tr w14:paraId="64319A45">
        <w:tblPrEx>
          <w:tblCellMar>
            <w:top w:w="0" w:type="dxa"/>
            <w:left w:w="108" w:type="dxa"/>
            <w:bottom w:w="0" w:type="dxa"/>
            <w:right w:w="108" w:type="dxa"/>
          </w:tblCellMar>
        </w:tblPrEx>
        <w:trPr>
          <w:trHeight w:val="82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07022792">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67AB0F03">
            <w:pPr>
              <w:rPr>
                <w:rFonts w:eastAsia="Times New Roman" w:cs="Calibri"/>
                <w:b/>
                <w:bCs/>
                <w:color w:val="000000"/>
                <w:sz w:val="20"/>
                <w:szCs w:val="20"/>
              </w:rPr>
            </w:pPr>
            <w:r>
              <w:rPr>
                <w:rFonts w:eastAsia="Times New Roman" w:cs="Calibri"/>
                <w:b/>
                <w:bCs/>
                <w:color w:val="000000"/>
                <w:sz w:val="20"/>
                <w:szCs w:val="20"/>
              </w:rPr>
              <w:t>1.1.</w:t>
            </w:r>
          </w:p>
        </w:tc>
        <w:tc>
          <w:tcPr>
            <w:tcW w:w="2835" w:type="dxa"/>
            <w:tcBorders>
              <w:top w:val="nil"/>
              <w:left w:val="nil"/>
              <w:bottom w:val="single" w:color="auto" w:sz="4" w:space="0"/>
              <w:right w:val="single" w:color="auto" w:sz="4" w:space="0"/>
            </w:tcBorders>
            <w:shd w:val="clear" w:color="auto" w:fill="auto"/>
            <w:vAlign w:val="center"/>
          </w:tcPr>
          <w:p w14:paraId="10C1099C">
            <w:pPr>
              <w:rPr>
                <w:rFonts w:eastAsia="Times New Roman" w:cs="Calibri"/>
                <w:b/>
                <w:bCs/>
                <w:color w:val="000000"/>
                <w:sz w:val="20"/>
                <w:szCs w:val="20"/>
              </w:rPr>
            </w:pPr>
            <w:r>
              <w:rPr>
                <w:rFonts w:eastAsia="Times New Roman" w:cs="Calibri"/>
                <w:b/>
                <w:bCs/>
                <w:color w:val="000000"/>
                <w:sz w:val="20"/>
                <w:szCs w:val="20"/>
              </w:rPr>
              <w:t>Istraživanje tržišta,analiza i mjerenje učinkovitosti</w:t>
            </w:r>
          </w:p>
        </w:tc>
        <w:tc>
          <w:tcPr>
            <w:tcW w:w="2126" w:type="dxa"/>
            <w:tcBorders>
              <w:top w:val="nil"/>
              <w:left w:val="nil"/>
              <w:bottom w:val="single" w:color="auto" w:sz="4" w:space="0"/>
              <w:right w:val="single" w:color="auto" w:sz="4" w:space="0"/>
            </w:tcBorders>
            <w:shd w:val="clear" w:color="auto" w:fill="auto"/>
            <w:noWrap/>
            <w:vAlign w:val="center"/>
          </w:tcPr>
          <w:p w14:paraId="395D683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6.000,00</w:t>
            </w:r>
          </w:p>
        </w:tc>
        <w:tc>
          <w:tcPr>
            <w:tcW w:w="2013" w:type="dxa"/>
            <w:tcBorders>
              <w:top w:val="nil"/>
              <w:left w:val="nil"/>
              <w:bottom w:val="single" w:color="auto" w:sz="4" w:space="0"/>
              <w:right w:val="single" w:color="auto" w:sz="4" w:space="0"/>
            </w:tcBorders>
            <w:shd w:val="clear" w:color="auto" w:fill="auto"/>
            <w:vAlign w:val="center"/>
          </w:tcPr>
          <w:p w14:paraId="2D6261E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auto" w:fill="auto"/>
            <w:noWrap/>
            <w:vAlign w:val="center"/>
          </w:tcPr>
          <w:p w14:paraId="7A1CE26E">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auto" w:fill="auto"/>
            <w:vAlign w:val="center"/>
          </w:tcPr>
          <w:p w14:paraId="623612D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r>
      <w:tr w14:paraId="77B0AD3E">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4ECD280A">
            <w:pPr>
              <w:rPr>
                <w:rFonts w:eastAsia="Times New Roman" w:cs="Calibri"/>
                <w:b/>
                <w:bCs/>
                <w:color w:val="000000"/>
                <w:sz w:val="20"/>
                <w:szCs w:val="20"/>
              </w:rPr>
            </w:pPr>
            <w:r>
              <w:rPr>
                <w:rFonts w:eastAsia="Times New Roman" w:cs="Calibri"/>
                <w:b/>
                <w:bCs/>
                <w:color w:val="000000"/>
                <w:sz w:val="20"/>
                <w:szCs w:val="20"/>
              </w:rPr>
              <w:t>2.</w:t>
            </w:r>
          </w:p>
        </w:tc>
        <w:tc>
          <w:tcPr>
            <w:tcW w:w="709" w:type="dxa"/>
            <w:tcBorders>
              <w:top w:val="nil"/>
              <w:left w:val="nil"/>
              <w:bottom w:val="single" w:color="auto" w:sz="4" w:space="0"/>
              <w:right w:val="single" w:color="auto" w:sz="4" w:space="0"/>
            </w:tcBorders>
            <w:shd w:val="clear" w:color="000000" w:fill="DDEBF7"/>
            <w:vAlign w:val="center"/>
          </w:tcPr>
          <w:p w14:paraId="262A692E">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6D7C8190">
            <w:pPr>
              <w:rPr>
                <w:rFonts w:eastAsia="Times New Roman" w:cs="Calibri"/>
                <w:b/>
                <w:bCs/>
                <w:color w:val="000000"/>
                <w:sz w:val="20"/>
                <w:szCs w:val="20"/>
              </w:rPr>
            </w:pPr>
            <w:r>
              <w:rPr>
                <w:rFonts w:eastAsia="Times New Roman" w:cs="Calibri"/>
                <w:b/>
                <w:bCs/>
                <w:color w:val="000000"/>
                <w:sz w:val="20"/>
                <w:szCs w:val="20"/>
              </w:rPr>
              <w:t>RAZVOJ TURISTIČKOG PROIZVODA</w:t>
            </w:r>
          </w:p>
        </w:tc>
        <w:tc>
          <w:tcPr>
            <w:tcW w:w="2126" w:type="dxa"/>
            <w:tcBorders>
              <w:top w:val="nil"/>
              <w:left w:val="nil"/>
              <w:bottom w:val="single" w:color="auto" w:sz="4" w:space="0"/>
              <w:right w:val="single" w:color="auto" w:sz="4" w:space="0"/>
            </w:tcBorders>
            <w:shd w:val="clear" w:color="000000" w:fill="DDEBF7"/>
            <w:noWrap/>
            <w:vAlign w:val="center"/>
          </w:tcPr>
          <w:p w14:paraId="2DA987D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48.500,00</w:t>
            </w:r>
          </w:p>
        </w:tc>
        <w:tc>
          <w:tcPr>
            <w:tcW w:w="2013" w:type="dxa"/>
            <w:tcBorders>
              <w:top w:val="nil"/>
              <w:left w:val="nil"/>
              <w:bottom w:val="single" w:color="auto" w:sz="4" w:space="0"/>
              <w:right w:val="single" w:color="auto" w:sz="4" w:space="0"/>
            </w:tcBorders>
            <w:shd w:val="clear" w:color="000000" w:fill="DDEBF7"/>
            <w:vAlign w:val="center"/>
          </w:tcPr>
          <w:p w14:paraId="6034F8C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49.500,00</w:t>
            </w:r>
          </w:p>
        </w:tc>
        <w:tc>
          <w:tcPr>
            <w:tcW w:w="964" w:type="dxa"/>
            <w:tcBorders>
              <w:top w:val="nil"/>
              <w:left w:val="nil"/>
              <w:bottom w:val="single" w:color="auto" w:sz="4" w:space="0"/>
              <w:right w:val="single" w:color="auto" w:sz="4" w:space="0"/>
            </w:tcBorders>
            <w:shd w:val="clear" w:color="000000" w:fill="DDEBF7"/>
            <w:noWrap/>
            <w:vAlign w:val="center"/>
          </w:tcPr>
          <w:p w14:paraId="7BF6CA99">
            <w:pPr>
              <w:jc w:val="center"/>
              <w:rPr>
                <w:rFonts w:hint="default" w:eastAsia="Times New Roman" w:cs="Calibri"/>
                <w:b/>
                <w:color w:val="000000"/>
                <w:sz w:val="20"/>
                <w:szCs w:val="20"/>
                <w:lang w:val="hr-HR"/>
              </w:rPr>
            </w:pPr>
            <w:r>
              <w:rPr>
                <w:rFonts w:hint="default" w:eastAsia="Times New Roman" w:cs="Calibri"/>
                <w:b/>
                <w:color w:val="000000"/>
                <w:sz w:val="20"/>
                <w:szCs w:val="20"/>
                <w:lang w:val="hr-HR"/>
              </w:rPr>
              <w:t>110,30</w:t>
            </w:r>
          </w:p>
        </w:tc>
        <w:tc>
          <w:tcPr>
            <w:tcW w:w="708" w:type="dxa"/>
            <w:gridSpan w:val="2"/>
            <w:tcBorders>
              <w:top w:val="nil"/>
              <w:left w:val="nil"/>
              <w:bottom w:val="single" w:color="auto" w:sz="4" w:space="0"/>
              <w:right w:val="single" w:color="auto" w:sz="4" w:space="0"/>
            </w:tcBorders>
            <w:shd w:val="clear" w:color="000000" w:fill="DDEBF7"/>
            <w:vAlign w:val="center"/>
          </w:tcPr>
          <w:p w14:paraId="1611F488">
            <w:pPr>
              <w:jc w:val="right"/>
              <w:rPr>
                <w:rFonts w:eastAsia="Times New Roman" w:cs="Calibri"/>
                <w:b/>
                <w:color w:val="000000"/>
                <w:sz w:val="20"/>
                <w:szCs w:val="20"/>
              </w:rPr>
            </w:pPr>
            <w:r>
              <w:rPr>
                <w:rFonts w:eastAsia="Times New Roman" w:cs="Calibri"/>
                <w:b/>
                <w:color w:val="000000"/>
                <w:sz w:val="20"/>
                <w:szCs w:val="20"/>
              </w:rPr>
              <w:t>100</w:t>
            </w:r>
          </w:p>
        </w:tc>
      </w:tr>
      <w:tr w14:paraId="562ABB9C">
        <w:tblPrEx>
          <w:tblCellMar>
            <w:top w:w="0" w:type="dxa"/>
            <w:left w:w="108" w:type="dxa"/>
            <w:bottom w:w="0" w:type="dxa"/>
            <w:right w:w="108" w:type="dxa"/>
          </w:tblCellMar>
        </w:tblPrEx>
        <w:trPr>
          <w:trHeight w:val="552" w:hRule="atLeast"/>
        </w:trPr>
        <w:tc>
          <w:tcPr>
            <w:tcW w:w="392" w:type="dxa"/>
            <w:tcBorders>
              <w:top w:val="nil"/>
              <w:left w:val="single" w:color="auto" w:sz="4" w:space="0"/>
              <w:bottom w:val="single" w:color="auto" w:sz="4" w:space="0"/>
              <w:right w:val="single" w:color="auto" w:sz="4" w:space="0"/>
            </w:tcBorders>
            <w:shd w:val="clear" w:color="auto" w:fill="auto"/>
            <w:noWrap/>
            <w:vAlign w:val="center"/>
          </w:tcPr>
          <w:p w14:paraId="1E3E04DB">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325598BF">
            <w:pPr>
              <w:rPr>
                <w:rFonts w:eastAsia="Times New Roman" w:cs="Calibri"/>
                <w:b/>
                <w:bCs/>
                <w:color w:val="000000"/>
                <w:sz w:val="20"/>
                <w:szCs w:val="20"/>
              </w:rPr>
            </w:pPr>
            <w:r>
              <w:rPr>
                <w:rFonts w:eastAsia="Times New Roman" w:cs="Calibri"/>
                <w:b/>
                <w:bCs/>
                <w:color w:val="000000"/>
                <w:sz w:val="20"/>
                <w:szCs w:val="20"/>
              </w:rPr>
              <w:t>2.1.</w:t>
            </w:r>
          </w:p>
        </w:tc>
        <w:tc>
          <w:tcPr>
            <w:tcW w:w="2835" w:type="dxa"/>
            <w:tcBorders>
              <w:top w:val="nil"/>
              <w:left w:val="nil"/>
              <w:bottom w:val="single" w:color="auto" w:sz="4" w:space="0"/>
              <w:right w:val="single" w:color="auto" w:sz="4" w:space="0"/>
            </w:tcBorders>
            <w:shd w:val="clear" w:color="auto" w:fill="auto"/>
            <w:vAlign w:val="center"/>
          </w:tcPr>
          <w:p w14:paraId="583776C2">
            <w:pPr>
              <w:rPr>
                <w:rFonts w:eastAsia="Times New Roman" w:cs="Calibri"/>
                <w:b/>
                <w:bCs/>
                <w:color w:val="000000"/>
                <w:sz w:val="20"/>
                <w:szCs w:val="20"/>
              </w:rPr>
            </w:pPr>
            <w:r>
              <w:rPr>
                <w:rFonts w:eastAsia="Times New Roman" w:cs="Calibri"/>
                <w:b/>
                <w:bCs/>
                <w:color w:val="000000"/>
                <w:sz w:val="20"/>
                <w:szCs w:val="20"/>
              </w:rPr>
              <w:t>Identifikacija i vrednovanje resursa te strukturiranje turističkih proizvoda</w:t>
            </w:r>
          </w:p>
        </w:tc>
        <w:tc>
          <w:tcPr>
            <w:tcW w:w="2126" w:type="dxa"/>
            <w:tcBorders>
              <w:top w:val="nil"/>
              <w:left w:val="nil"/>
              <w:bottom w:val="single" w:color="auto" w:sz="4" w:space="0"/>
              <w:right w:val="single" w:color="auto" w:sz="4" w:space="0"/>
            </w:tcBorders>
            <w:shd w:val="clear" w:color="auto" w:fill="auto"/>
            <w:noWrap/>
            <w:vAlign w:val="center"/>
          </w:tcPr>
          <w:p w14:paraId="14579222">
            <w:pPr>
              <w:jc w:val="right"/>
              <w:rPr>
                <w:rFonts w:eastAsia="Times New Roman" w:cs="Calibri"/>
                <w:b/>
                <w:color w:val="000000"/>
                <w:sz w:val="20"/>
                <w:szCs w:val="20"/>
              </w:rPr>
            </w:pPr>
            <w:r>
              <w:rPr>
                <w:rFonts w:eastAsia="Times New Roman" w:cs="Calibri"/>
                <w:b/>
                <w:color w:val="000000"/>
                <w:sz w:val="20"/>
                <w:szCs w:val="20"/>
              </w:rPr>
              <w:t>0,00</w:t>
            </w:r>
          </w:p>
        </w:tc>
        <w:tc>
          <w:tcPr>
            <w:tcW w:w="2013" w:type="dxa"/>
            <w:tcBorders>
              <w:top w:val="nil"/>
              <w:left w:val="nil"/>
              <w:bottom w:val="single" w:color="auto" w:sz="4" w:space="0"/>
              <w:right w:val="single" w:color="auto" w:sz="4" w:space="0"/>
            </w:tcBorders>
            <w:shd w:val="clear" w:color="auto" w:fill="auto"/>
            <w:vAlign w:val="center"/>
          </w:tcPr>
          <w:p w14:paraId="5E1C34A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auto" w:fill="auto"/>
            <w:noWrap/>
            <w:vAlign w:val="center"/>
          </w:tcPr>
          <w:p w14:paraId="3D339D52">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auto" w:fill="auto"/>
            <w:vAlign w:val="center"/>
          </w:tcPr>
          <w:p w14:paraId="69ABDD87">
            <w:pPr>
              <w:jc w:val="center"/>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r>
      <w:tr w14:paraId="0D623799">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6890E66F">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314D9D1D">
            <w:pPr>
              <w:rPr>
                <w:rFonts w:eastAsia="Times New Roman" w:cs="Calibri"/>
                <w:b/>
                <w:bCs/>
                <w:color w:val="000000"/>
                <w:sz w:val="20"/>
                <w:szCs w:val="20"/>
              </w:rPr>
            </w:pPr>
            <w:r>
              <w:rPr>
                <w:rFonts w:eastAsia="Times New Roman" w:cs="Calibri"/>
                <w:b/>
                <w:bCs/>
                <w:color w:val="000000"/>
                <w:sz w:val="20"/>
                <w:szCs w:val="20"/>
              </w:rPr>
              <w:t>2.2.</w:t>
            </w:r>
          </w:p>
        </w:tc>
        <w:tc>
          <w:tcPr>
            <w:tcW w:w="2835" w:type="dxa"/>
            <w:tcBorders>
              <w:top w:val="nil"/>
              <w:left w:val="nil"/>
              <w:bottom w:val="single" w:color="auto" w:sz="4" w:space="0"/>
              <w:right w:val="single" w:color="auto" w:sz="4" w:space="0"/>
            </w:tcBorders>
            <w:shd w:val="clear" w:color="auto" w:fill="auto"/>
            <w:vAlign w:val="center"/>
          </w:tcPr>
          <w:p w14:paraId="0D33512A">
            <w:pPr>
              <w:rPr>
                <w:rFonts w:eastAsia="Times New Roman" w:cs="Calibri"/>
                <w:b/>
                <w:bCs/>
                <w:color w:val="000000"/>
                <w:sz w:val="20"/>
                <w:szCs w:val="20"/>
              </w:rPr>
            </w:pPr>
            <w:r>
              <w:rPr>
                <w:rFonts w:eastAsia="Times New Roman" w:cs="Calibri"/>
                <w:b/>
                <w:bCs/>
                <w:color w:val="000000"/>
                <w:sz w:val="20"/>
                <w:szCs w:val="20"/>
              </w:rPr>
              <w:t>Sustavi označavanja kvalitete turističkog proizvoda (Like home,eno gastro i sl)</w:t>
            </w:r>
          </w:p>
        </w:tc>
        <w:tc>
          <w:tcPr>
            <w:tcW w:w="2126" w:type="dxa"/>
            <w:tcBorders>
              <w:top w:val="nil"/>
              <w:left w:val="nil"/>
              <w:bottom w:val="single" w:color="auto" w:sz="4" w:space="0"/>
              <w:right w:val="single" w:color="auto" w:sz="4" w:space="0"/>
            </w:tcBorders>
            <w:shd w:val="clear" w:color="auto" w:fill="auto"/>
            <w:noWrap/>
            <w:vAlign w:val="center"/>
          </w:tcPr>
          <w:p w14:paraId="0DEF384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w:t>
            </w:r>
          </w:p>
        </w:tc>
        <w:tc>
          <w:tcPr>
            <w:tcW w:w="2013" w:type="dxa"/>
            <w:tcBorders>
              <w:top w:val="nil"/>
              <w:left w:val="nil"/>
              <w:bottom w:val="single" w:color="auto" w:sz="4" w:space="0"/>
              <w:right w:val="single" w:color="auto" w:sz="4" w:space="0"/>
            </w:tcBorders>
            <w:shd w:val="clear" w:color="auto" w:fill="auto"/>
            <w:vAlign w:val="center"/>
          </w:tcPr>
          <w:p w14:paraId="792E99F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w:t>
            </w:r>
          </w:p>
        </w:tc>
        <w:tc>
          <w:tcPr>
            <w:tcW w:w="964" w:type="dxa"/>
            <w:tcBorders>
              <w:top w:val="nil"/>
              <w:left w:val="nil"/>
              <w:bottom w:val="single" w:color="auto" w:sz="4" w:space="0"/>
              <w:right w:val="single" w:color="auto" w:sz="4" w:space="0"/>
            </w:tcBorders>
            <w:shd w:val="clear" w:color="auto" w:fill="auto"/>
            <w:noWrap/>
            <w:vAlign w:val="center"/>
          </w:tcPr>
          <w:p w14:paraId="07EAA1D9">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c>
          <w:tcPr>
            <w:tcW w:w="708" w:type="dxa"/>
            <w:gridSpan w:val="2"/>
            <w:tcBorders>
              <w:top w:val="nil"/>
              <w:left w:val="nil"/>
              <w:bottom w:val="single" w:color="auto" w:sz="4" w:space="0"/>
              <w:right w:val="single" w:color="auto" w:sz="4" w:space="0"/>
            </w:tcBorders>
            <w:shd w:val="clear" w:color="auto" w:fill="auto"/>
            <w:vAlign w:val="center"/>
          </w:tcPr>
          <w:p w14:paraId="4CD5564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1,03</w:t>
            </w:r>
          </w:p>
        </w:tc>
      </w:tr>
      <w:tr w14:paraId="0ADA1606">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FFFFFF"/>
            <w:vAlign w:val="center"/>
          </w:tcPr>
          <w:p w14:paraId="0E091CE2">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000000" w:fill="FFFFFF"/>
            <w:vAlign w:val="center"/>
          </w:tcPr>
          <w:p w14:paraId="1DC1FAF3">
            <w:pPr>
              <w:rPr>
                <w:rFonts w:eastAsia="Times New Roman" w:cs="Calibri"/>
                <w:b/>
                <w:bCs/>
                <w:color w:val="000000"/>
                <w:sz w:val="20"/>
                <w:szCs w:val="20"/>
              </w:rPr>
            </w:pPr>
            <w:r>
              <w:rPr>
                <w:rFonts w:eastAsia="Times New Roman" w:cs="Calibri"/>
                <w:b/>
                <w:bCs/>
                <w:color w:val="000000"/>
                <w:sz w:val="20"/>
                <w:szCs w:val="20"/>
              </w:rPr>
              <w:t>2.3.</w:t>
            </w:r>
          </w:p>
        </w:tc>
        <w:tc>
          <w:tcPr>
            <w:tcW w:w="2835" w:type="dxa"/>
            <w:tcBorders>
              <w:top w:val="nil"/>
              <w:left w:val="nil"/>
              <w:bottom w:val="single" w:color="auto" w:sz="4" w:space="0"/>
              <w:right w:val="single" w:color="auto" w:sz="4" w:space="0"/>
            </w:tcBorders>
            <w:shd w:val="clear" w:color="000000" w:fill="FFFFFF"/>
            <w:vAlign w:val="center"/>
          </w:tcPr>
          <w:p w14:paraId="24E6611B">
            <w:pPr>
              <w:rPr>
                <w:rFonts w:eastAsia="Times New Roman" w:cs="Calibri"/>
                <w:b/>
                <w:bCs/>
                <w:color w:val="000000"/>
                <w:sz w:val="20"/>
                <w:szCs w:val="20"/>
              </w:rPr>
            </w:pPr>
            <w:r>
              <w:rPr>
                <w:rFonts w:eastAsia="Times New Roman" w:cs="Calibri"/>
                <w:b/>
                <w:bCs/>
                <w:color w:val="000000"/>
                <w:sz w:val="20"/>
                <w:szCs w:val="20"/>
              </w:rPr>
              <w:t>Podrška razvoju turističkih događanja</w:t>
            </w:r>
          </w:p>
        </w:tc>
        <w:tc>
          <w:tcPr>
            <w:tcW w:w="2126" w:type="dxa"/>
            <w:tcBorders>
              <w:top w:val="nil"/>
              <w:left w:val="nil"/>
              <w:bottom w:val="single" w:color="auto" w:sz="4" w:space="0"/>
              <w:right w:val="single" w:color="auto" w:sz="4" w:space="0"/>
            </w:tcBorders>
            <w:shd w:val="clear" w:color="000000" w:fill="FFFFFF"/>
            <w:noWrap/>
            <w:vAlign w:val="center"/>
          </w:tcPr>
          <w:p w14:paraId="7E0B09B6">
            <w:pPr>
              <w:jc w:val="right"/>
              <w:rPr>
                <w:rFonts w:eastAsia="Times New Roman" w:cs="Calibri"/>
                <w:b/>
                <w:color w:val="000000"/>
                <w:sz w:val="20"/>
                <w:szCs w:val="20"/>
              </w:rPr>
            </w:pPr>
          </w:p>
        </w:tc>
        <w:tc>
          <w:tcPr>
            <w:tcW w:w="2013" w:type="dxa"/>
            <w:tcBorders>
              <w:top w:val="nil"/>
              <w:left w:val="nil"/>
              <w:bottom w:val="single" w:color="auto" w:sz="4" w:space="0"/>
              <w:right w:val="single" w:color="auto" w:sz="4" w:space="0"/>
            </w:tcBorders>
            <w:shd w:val="clear" w:color="000000" w:fill="FFFFFF"/>
            <w:vAlign w:val="center"/>
          </w:tcPr>
          <w:p w14:paraId="15891546">
            <w:pPr>
              <w:jc w:val="right"/>
              <w:rPr>
                <w:rFonts w:eastAsia="Times New Roman" w:cs="Calibri"/>
                <w:b/>
                <w:color w:val="000000"/>
                <w:sz w:val="20"/>
                <w:szCs w:val="20"/>
              </w:rPr>
            </w:pPr>
          </w:p>
        </w:tc>
        <w:tc>
          <w:tcPr>
            <w:tcW w:w="964" w:type="dxa"/>
            <w:tcBorders>
              <w:top w:val="nil"/>
              <w:left w:val="nil"/>
              <w:bottom w:val="single" w:color="auto" w:sz="4" w:space="0"/>
              <w:right w:val="single" w:color="auto" w:sz="4" w:space="0"/>
            </w:tcBorders>
            <w:shd w:val="clear" w:color="000000" w:fill="FFFFFF"/>
            <w:noWrap/>
            <w:vAlign w:val="center"/>
          </w:tcPr>
          <w:p w14:paraId="6CE7B1E8">
            <w:pPr>
              <w:jc w:val="right"/>
              <w:rPr>
                <w:rFonts w:eastAsia="Times New Roman" w:cs="Calibri"/>
                <w:b/>
                <w:color w:val="000000"/>
                <w:sz w:val="20"/>
                <w:szCs w:val="20"/>
              </w:rPr>
            </w:pPr>
          </w:p>
        </w:tc>
        <w:tc>
          <w:tcPr>
            <w:tcW w:w="708" w:type="dxa"/>
            <w:gridSpan w:val="2"/>
            <w:tcBorders>
              <w:top w:val="nil"/>
              <w:left w:val="nil"/>
              <w:bottom w:val="single" w:color="auto" w:sz="4" w:space="0"/>
              <w:right w:val="single" w:color="auto" w:sz="4" w:space="0"/>
            </w:tcBorders>
            <w:shd w:val="clear" w:color="000000" w:fill="FFFFFF"/>
            <w:vAlign w:val="center"/>
          </w:tcPr>
          <w:p w14:paraId="19A6D281">
            <w:pPr>
              <w:jc w:val="right"/>
              <w:rPr>
                <w:rFonts w:eastAsia="Times New Roman" w:cs="Calibri"/>
                <w:b/>
                <w:color w:val="000000"/>
                <w:sz w:val="20"/>
                <w:szCs w:val="20"/>
              </w:rPr>
            </w:pPr>
          </w:p>
        </w:tc>
      </w:tr>
      <w:tr w14:paraId="4519EFC8">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5424824B">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auto"/>
            <w:vAlign w:val="center"/>
          </w:tcPr>
          <w:p w14:paraId="142531F5">
            <w:pPr>
              <w:rPr>
                <w:rFonts w:eastAsia="Times New Roman" w:cs="Calibri"/>
                <w:b/>
                <w:bCs/>
                <w:color w:val="000000"/>
                <w:sz w:val="20"/>
                <w:szCs w:val="20"/>
              </w:rPr>
            </w:pPr>
            <w:r>
              <w:rPr>
                <w:rFonts w:eastAsia="Times New Roman" w:cs="Calibri"/>
                <w:b/>
                <w:bCs/>
                <w:color w:val="000000"/>
                <w:sz w:val="20"/>
                <w:szCs w:val="20"/>
              </w:rPr>
              <w:t>2.3.1.</w:t>
            </w:r>
          </w:p>
        </w:tc>
        <w:tc>
          <w:tcPr>
            <w:tcW w:w="2835" w:type="dxa"/>
            <w:tcBorders>
              <w:top w:val="nil"/>
              <w:left w:val="nil"/>
              <w:bottom w:val="single" w:color="auto" w:sz="4" w:space="0"/>
              <w:right w:val="single" w:color="auto" w:sz="4" w:space="0"/>
            </w:tcBorders>
            <w:shd w:val="clear" w:color="auto" w:fill="auto"/>
            <w:vAlign w:val="center"/>
          </w:tcPr>
          <w:p w14:paraId="2284CDE5">
            <w:pPr>
              <w:rPr>
                <w:rFonts w:eastAsia="Times New Roman" w:cs="Calibri"/>
                <w:b/>
                <w:bCs/>
                <w:color w:val="000000"/>
                <w:sz w:val="20"/>
                <w:szCs w:val="20"/>
              </w:rPr>
            </w:pPr>
            <w:r>
              <w:rPr>
                <w:rFonts w:eastAsia="Times New Roman" w:cs="Calibri"/>
                <w:b/>
                <w:bCs/>
                <w:color w:val="000000"/>
                <w:sz w:val="20"/>
                <w:szCs w:val="20"/>
              </w:rPr>
              <w:t>Kulturno-zabavne,sportske i tradicijske manifestacije</w:t>
            </w:r>
          </w:p>
        </w:tc>
        <w:tc>
          <w:tcPr>
            <w:tcW w:w="2126" w:type="dxa"/>
            <w:tcBorders>
              <w:top w:val="nil"/>
              <w:left w:val="nil"/>
              <w:bottom w:val="single" w:color="auto" w:sz="4" w:space="0"/>
              <w:right w:val="single" w:color="auto" w:sz="4" w:space="0"/>
            </w:tcBorders>
            <w:shd w:val="clear" w:color="auto" w:fill="auto"/>
            <w:noWrap/>
            <w:vAlign w:val="center"/>
          </w:tcPr>
          <w:p w14:paraId="14AAB4C1">
            <w:pPr>
              <w:jc w:val="right"/>
              <w:rPr>
                <w:rFonts w:eastAsia="Times New Roman" w:cs="Calibri"/>
                <w:b/>
                <w:color w:val="000000"/>
                <w:sz w:val="20"/>
                <w:szCs w:val="20"/>
              </w:rPr>
            </w:pPr>
          </w:p>
        </w:tc>
        <w:tc>
          <w:tcPr>
            <w:tcW w:w="2013" w:type="dxa"/>
            <w:tcBorders>
              <w:top w:val="nil"/>
              <w:left w:val="nil"/>
              <w:bottom w:val="single" w:color="auto" w:sz="4" w:space="0"/>
              <w:right w:val="single" w:color="auto" w:sz="4" w:space="0"/>
            </w:tcBorders>
            <w:shd w:val="clear" w:color="auto" w:fill="auto"/>
            <w:vAlign w:val="center"/>
          </w:tcPr>
          <w:p w14:paraId="5B75A4E7">
            <w:pPr>
              <w:jc w:val="right"/>
              <w:rPr>
                <w:rFonts w:eastAsia="Times New Roman" w:cs="Calibri"/>
                <w:b/>
                <w:color w:val="000000"/>
                <w:sz w:val="20"/>
                <w:szCs w:val="20"/>
              </w:rPr>
            </w:pPr>
          </w:p>
        </w:tc>
        <w:tc>
          <w:tcPr>
            <w:tcW w:w="964" w:type="dxa"/>
            <w:tcBorders>
              <w:top w:val="nil"/>
              <w:left w:val="nil"/>
              <w:bottom w:val="single" w:color="auto" w:sz="4" w:space="0"/>
              <w:right w:val="single" w:color="auto" w:sz="4" w:space="0"/>
            </w:tcBorders>
            <w:shd w:val="clear" w:color="auto" w:fill="auto"/>
            <w:noWrap/>
            <w:vAlign w:val="center"/>
          </w:tcPr>
          <w:p w14:paraId="4A28369E">
            <w:pPr>
              <w:jc w:val="right"/>
              <w:rPr>
                <w:rFonts w:eastAsia="Times New Roman" w:cs="Calibri"/>
                <w:b/>
                <w:color w:val="000000"/>
                <w:sz w:val="20"/>
                <w:szCs w:val="20"/>
              </w:rPr>
            </w:pPr>
          </w:p>
        </w:tc>
        <w:tc>
          <w:tcPr>
            <w:tcW w:w="708" w:type="dxa"/>
            <w:gridSpan w:val="2"/>
            <w:tcBorders>
              <w:top w:val="nil"/>
              <w:left w:val="nil"/>
              <w:bottom w:val="single" w:color="auto" w:sz="4" w:space="0"/>
              <w:right w:val="single" w:color="auto" w:sz="4" w:space="0"/>
            </w:tcBorders>
            <w:shd w:val="clear" w:color="auto" w:fill="auto"/>
            <w:vAlign w:val="center"/>
          </w:tcPr>
          <w:p w14:paraId="2C6BD17A">
            <w:pPr>
              <w:jc w:val="right"/>
              <w:rPr>
                <w:rFonts w:eastAsia="Times New Roman" w:cs="Calibri"/>
                <w:b/>
                <w:color w:val="000000"/>
                <w:sz w:val="20"/>
                <w:szCs w:val="20"/>
              </w:rPr>
            </w:pPr>
          </w:p>
        </w:tc>
      </w:tr>
      <w:tr w14:paraId="37556048">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476F5350">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051480EC">
            <w:pPr>
              <w:rPr>
                <w:rFonts w:eastAsia="Times New Roman" w:cs="Calibri"/>
                <w:b/>
                <w:bCs/>
                <w:color w:val="000000"/>
                <w:sz w:val="20"/>
                <w:szCs w:val="20"/>
              </w:rPr>
            </w:pPr>
            <w:r>
              <w:rPr>
                <w:rFonts w:eastAsia="Times New Roman" w:cs="Calibri"/>
                <w:b/>
                <w:bCs/>
                <w:color w:val="000000"/>
                <w:sz w:val="20"/>
                <w:szCs w:val="20"/>
              </w:rPr>
              <w:t>2.3.1.1.</w:t>
            </w:r>
          </w:p>
        </w:tc>
        <w:tc>
          <w:tcPr>
            <w:tcW w:w="2835" w:type="dxa"/>
            <w:tcBorders>
              <w:top w:val="nil"/>
              <w:left w:val="nil"/>
              <w:bottom w:val="single" w:color="auto" w:sz="4" w:space="0"/>
              <w:right w:val="single" w:color="auto" w:sz="4" w:space="0"/>
            </w:tcBorders>
            <w:shd w:val="clear" w:color="auto" w:fill="auto"/>
            <w:vAlign w:val="center"/>
          </w:tcPr>
          <w:p w14:paraId="0D390EAF">
            <w:pPr>
              <w:rPr>
                <w:rFonts w:eastAsia="Times New Roman" w:cs="Calibri"/>
                <w:b/>
                <w:bCs/>
                <w:color w:val="000000"/>
                <w:sz w:val="20"/>
                <w:szCs w:val="20"/>
              </w:rPr>
            </w:pPr>
            <w:r>
              <w:rPr>
                <w:rFonts w:eastAsia="Times New Roman" w:cs="Calibri"/>
                <w:b/>
                <w:bCs/>
                <w:color w:val="000000"/>
                <w:sz w:val="20"/>
                <w:szCs w:val="20"/>
              </w:rPr>
              <w:t>Ribarska večer</w:t>
            </w:r>
          </w:p>
        </w:tc>
        <w:tc>
          <w:tcPr>
            <w:tcW w:w="2126" w:type="dxa"/>
            <w:tcBorders>
              <w:top w:val="nil"/>
              <w:left w:val="nil"/>
              <w:bottom w:val="single" w:color="auto" w:sz="4" w:space="0"/>
              <w:right w:val="single" w:color="auto" w:sz="4" w:space="0"/>
            </w:tcBorders>
            <w:shd w:val="clear" w:color="auto" w:fill="auto"/>
            <w:noWrap/>
            <w:vAlign w:val="center"/>
          </w:tcPr>
          <w:p w14:paraId="379A779E">
            <w:pPr>
              <w:jc w:val="right"/>
              <w:rPr>
                <w:rFonts w:eastAsia="Times New Roman" w:cs="Calibri"/>
                <w:b/>
                <w:color w:val="000000"/>
                <w:sz w:val="20"/>
                <w:szCs w:val="20"/>
              </w:rPr>
            </w:pPr>
            <w:r>
              <w:rPr>
                <w:rFonts w:eastAsia="Times New Roman" w:cs="Calibri"/>
                <w:b/>
                <w:color w:val="000000"/>
                <w:sz w:val="20"/>
                <w:szCs w:val="20"/>
              </w:rPr>
              <w:t xml:space="preserve">6.000,00 </w:t>
            </w:r>
          </w:p>
        </w:tc>
        <w:tc>
          <w:tcPr>
            <w:tcW w:w="2013" w:type="dxa"/>
            <w:tcBorders>
              <w:top w:val="nil"/>
              <w:left w:val="nil"/>
              <w:bottom w:val="single" w:color="auto" w:sz="4" w:space="0"/>
              <w:right w:val="single" w:color="auto" w:sz="4" w:space="0"/>
            </w:tcBorders>
            <w:shd w:val="clear" w:color="auto" w:fill="auto"/>
            <w:vAlign w:val="center"/>
          </w:tcPr>
          <w:p w14:paraId="72B725E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6.000,00</w:t>
            </w:r>
          </w:p>
        </w:tc>
        <w:tc>
          <w:tcPr>
            <w:tcW w:w="964" w:type="dxa"/>
            <w:tcBorders>
              <w:top w:val="nil"/>
              <w:left w:val="nil"/>
              <w:bottom w:val="single" w:color="auto" w:sz="4" w:space="0"/>
              <w:right w:val="single" w:color="auto" w:sz="4" w:space="0"/>
            </w:tcBorders>
            <w:shd w:val="clear" w:color="auto" w:fill="auto"/>
            <w:noWrap/>
            <w:vAlign w:val="center"/>
          </w:tcPr>
          <w:p w14:paraId="18ADFC9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c>
          <w:tcPr>
            <w:tcW w:w="708" w:type="dxa"/>
            <w:gridSpan w:val="2"/>
            <w:tcBorders>
              <w:top w:val="nil"/>
              <w:left w:val="nil"/>
              <w:bottom w:val="single" w:color="auto" w:sz="4" w:space="0"/>
              <w:right w:val="single" w:color="auto" w:sz="4" w:space="0"/>
            </w:tcBorders>
            <w:shd w:val="clear" w:color="auto" w:fill="auto"/>
            <w:vAlign w:val="center"/>
          </w:tcPr>
          <w:p w14:paraId="2D7F139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11,21</w:t>
            </w:r>
          </w:p>
        </w:tc>
      </w:tr>
      <w:tr w14:paraId="503A899A">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2E5BDFFB">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78312D47">
            <w:pPr>
              <w:rPr>
                <w:rFonts w:eastAsia="Times New Roman" w:cs="Calibri"/>
                <w:b/>
                <w:bCs/>
                <w:color w:val="000000"/>
                <w:sz w:val="20"/>
                <w:szCs w:val="20"/>
              </w:rPr>
            </w:pPr>
            <w:r>
              <w:rPr>
                <w:rFonts w:eastAsia="Times New Roman" w:cs="Calibri"/>
                <w:b/>
                <w:bCs/>
                <w:color w:val="000000"/>
                <w:sz w:val="20"/>
                <w:szCs w:val="20"/>
              </w:rPr>
              <w:t>2.3.1.2.</w:t>
            </w:r>
          </w:p>
        </w:tc>
        <w:tc>
          <w:tcPr>
            <w:tcW w:w="2835" w:type="dxa"/>
            <w:tcBorders>
              <w:top w:val="nil"/>
              <w:left w:val="nil"/>
              <w:bottom w:val="single" w:color="auto" w:sz="4" w:space="0"/>
              <w:right w:val="single" w:color="auto" w:sz="4" w:space="0"/>
            </w:tcBorders>
            <w:shd w:val="clear" w:color="auto" w:fill="auto"/>
            <w:vAlign w:val="center"/>
          </w:tcPr>
          <w:p w14:paraId="03357043">
            <w:pPr>
              <w:rPr>
                <w:rFonts w:eastAsia="Times New Roman" w:cs="Calibri"/>
                <w:b/>
                <w:bCs/>
                <w:color w:val="000000"/>
                <w:sz w:val="20"/>
                <w:szCs w:val="20"/>
              </w:rPr>
            </w:pPr>
            <w:r>
              <w:rPr>
                <w:rFonts w:eastAsia="Times New Roman" w:cs="Calibri"/>
                <w:b/>
                <w:bCs/>
                <w:color w:val="000000"/>
                <w:sz w:val="20"/>
                <w:szCs w:val="20"/>
              </w:rPr>
              <w:t>Regata gajeta Krapanjsko idro</w:t>
            </w:r>
          </w:p>
        </w:tc>
        <w:tc>
          <w:tcPr>
            <w:tcW w:w="2126" w:type="dxa"/>
            <w:tcBorders>
              <w:top w:val="nil"/>
              <w:left w:val="nil"/>
              <w:bottom w:val="single" w:color="auto" w:sz="4" w:space="0"/>
              <w:right w:val="single" w:color="auto" w:sz="4" w:space="0"/>
            </w:tcBorders>
            <w:shd w:val="clear" w:color="auto" w:fill="auto"/>
            <w:noWrap/>
            <w:vAlign w:val="center"/>
          </w:tcPr>
          <w:p w14:paraId="233E0F01">
            <w:pPr>
              <w:jc w:val="right"/>
              <w:rPr>
                <w:rFonts w:eastAsia="Times New Roman" w:cs="Calibri"/>
                <w:b/>
                <w:color w:val="000000"/>
                <w:sz w:val="20"/>
                <w:szCs w:val="20"/>
              </w:rPr>
            </w:pPr>
            <w:r>
              <w:rPr>
                <w:rFonts w:hint="default" w:eastAsia="Times New Roman" w:cs="Calibri"/>
                <w:b/>
                <w:color w:val="000000"/>
                <w:sz w:val="20"/>
                <w:szCs w:val="20"/>
                <w:lang w:val="hr-HR"/>
              </w:rPr>
              <w:t>3.000,00</w:t>
            </w:r>
          </w:p>
        </w:tc>
        <w:tc>
          <w:tcPr>
            <w:tcW w:w="2013" w:type="dxa"/>
            <w:tcBorders>
              <w:top w:val="nil"/>
              <w:left w:val="nil"/>
              <w:bottom w:val="single" w:color="auto" w:sz="4" w:space="0"/>
              <w:right w:val="single" w:color="auto" w:sz="4" w:space="0"/>
            </w:tcBorders>
            <w:shd w:val="clear" w:color="auto" w:fill="auto"/>
            <w:vAlign w:val="center"/>
          </w:tcPr>
          <w:p w14:paraId="647A391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4.000,00</w:t>
            </w:r>
          </w:p>
        </w:tc>
        <w:tc>
          <w:tcPr>
            <w:tcW w:w="964" w:type="dxa"/>
            <w:tcBorders>
              <w:top w:val="nil"/>
              <w:left w:val="nil"/>
              <w:bottom w:val="single" w:color="auto" w:sz="4" w:space="0"/>
              <w:right w:val="single" w:color="auto" w:sz="4" w:space="0"/>
            </w:tcBorders>
            <w:shd w:val="clear" w:color="auto" w:fill="auto"/>
            <w:noWrap/>
            <w:vAlign w:val="center"/>
          </w:tcPr>
          <w:p w14:paraId="5F734860">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133,33</w:t>
            </w:r>
          </w:p>
        </w:tc>
        <w:tc>
          <w:tcPr>
            <w:tcW w:w="708" w:type="dxa"/>
            <w:gridSpan w:val="2"/>
            <w:tcBorders>
              <w:top w:val="nil"/>
              <w:left w:val="nil"/>
              <w:bottom w:val="single" w:color="auto" w:sz="4" w:space="0"/>
              <w:right w:val="single" w:color="auto" w:sz="4" w:space="0"/>
            </w:tcBorders>
            <w:shd w:val="clear" w:color="auto" w:fill="auto"/>
            <w:vAlign w:val="center"/>
          </w:tcPr>
          <w:p w14:paraId="76A2C2F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7,48</w:t>
            </w:r>
          </w:p>
        </w:tc>
      </w:tr>
      <w:tr w14:paraId="739FEC99">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79C79032">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7DA60861">
            <w:pPr>
              <w:rPr>
                <w:rFonts w:eastAsia="Times New Roman" w:cs="Calibri"/>
                <w:b/>
                <w:bCs/>
                <w:color w:val="000000"/>
                <w:sz w:val="20"/>
                <w:szCs w:val="20"/>
              </w:rPr>
            </w:pPr>
            <w:r>
              <w:rPr>
                <w:rFonts w:eastAsia="Times New Roman" w:cs="Calibri"/>
                <w:b/>
                <w:bCs/>
                <w:color w:val="000000"/>
                <w:sz w:val="20"/>
                <w:szCs w:val="20"/>
              </w:rPr>
              <w:t>2.3.1.3.</w:t>
            </w:r>
          </w:p>
        </w:tc>
        <w:tc>
          <w:tcPr>
            <w:tcW w:w="2835" w:type="dxa"/>
            <w:tcBorders>
              <w:top w:val="nil"/>
              <w:left w:val="nil"/>
              <w:bottom w:val="single" w:color="auto" w:sz="4" w:space="0"/>
              <w:right w:val="single" w:color="auto" w:sz="4" w:space="0"/>
            </w:tcBorders>
            <w:shd w:val="clear" w:color="auto" w:fill="auto"/>
            <w:vAlign w:val="center"/>
          </w:tcPr>
          <w:p w14:paraId="0ACC0AE9">
            <w:pPr>
              <w:rPr>
                <w:rFonts w:eastAsia="Times New Roman" w:cs="Calibri"/>
                <w:b/>
                <w:bCs/>
                <w:color w:val="000000"/>
                <w:sz w:val="20"/>
                <w:szCs w:val="20"/>
              </w:rPr>
            </w:pPr>
            <w:r>
              <w:rPr>
                <w:rFonts w:eastAsia="Times New Roman" w:cs="Calibri"/>
                <w:b/>
                <w:bCs/>
                <w:color w:val="000000"/>
                <w:sz w:val="20"/>
                <w:szCs w:val="20"/>
              </w:rPr>
              <w:t>Utrka žena u nošenju vidra na glavi</w:t>
            </w:r>
          </w:p>
        </w:tc>
        <w:tc>
          <w:tcPr>
            <w:tcW w:w="2126" w:type="dxa"/>
            <w:tcBorders>
              <w:top w:val="nil"/>
              <w:left w:val="nil"/>
              <w:bottom w:val="single" w:color="auto" w:sz="4" w:space="0"/>
              <w:right w:val="single" w:color="auto" w:sz="4" w:space="0"/>
            </w:tcBorders>
            <w:shd w:val="clear" w:color="auto" w:fill="auto"/>
            <w:noWrap/>
            <w:vAlign w:val="center"/>
          </w:tcPr>
          <w:p w14:paraId="2BE7FD38">
            <w:pPr>
              <w:jc w:val="right"/>
              <w:rPr>
                <w:rFonts w:eastAsia="Times New Roman" w:cs="Calibri"/>
                <w:b/>
                <w:color w:val="000000"/>
                <w:sz w:val="20"/>
                <w:szCs w:val="20"/>
              </w:rPr>
            </w:pPr>
            <w:r>
              <w:rPr>
                <w:rFonts w:hint="default" w:eastAsia="Times New Roman" w:cs="Calibri"/>
                <w:b/>
                <w:color w:val="000000"/>
                <w:sz w:val="20"/>
                <w:szCs w:val="20"/>
                <w:lang w:val="hr-HR"/>
              </w:rPr>
              <w:t>4.000,00</w:t>
            </w:r>
          </w:p>
        </w:tc>
        <w:tc>
          <w:tcPr>
            <w:tcW w:w="2013" w:type="dxa"/>
            <w:tcBorders>
              <w:top w:val="nil"/>
              <w:left w:val="nil"/>
              <w:bottom w:val="single" w:color="auto" w:sz="4" w:space="0"/>
              <w:right w:val="single" w:color="auto" w:sz="4" w:space="0"/>
            </w:tcBorders>
            <w:shd w:val="clear" w:color="auto" w:fill="auto"/>
            <w:vAlign w:val="center"/>
          </w:tcPr>
          <w:p w14:paraId="240905C2">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5.000,00</w:t>
            </w:r>
          </w:p>
        </w:tc>
        <w:tc>
          <w:tcPr>
            <w:tcW w:w="964" w:type="dxa"/>
            <w:tcBorders>
              <w:top w:val="nil"/>
              <w:left w:val="nil"/>
              <w:bottom w:val="single" w:color="auto" w:sz="4" w:space="0"/>
              <w:right w:val="single" w:color="auto" w:sz="4" w:space="0"/>
            </w:tcBorders>
            <w:shd w:val="clear" w:color="auto" w:fill="auto"/>
            <w:noWrap/>
            <w:vAlign w:val="center"/>
          </w:tcPr>
          <w:p w14:paraId="297DC56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125</w:t>
            </w:r>
          </w:p>
        </w:tc>
        <w:tc>
          <w:tcPr>
            <w:tcW w:w="708" w:type="dxa"/>
            <w:gridSpan w:val="2"/>
            <w:tcBorders>
              <w:top w:val="nil"/>
              <w:left w:val="nil"/>
              <w:bottom w:val="single" w:color="auto" w:sz="4" w:space="0"/>
              <w:right w:val="single" w:color="auto" w:sz="4" w:space="0"/>
            </w:tcBorders>
            <w:shd w:val="clear" w:color="auto" w:fill="auto"/>
            <w:vAlign w:val="center"/>
          </w:tcPr>
          <w:p w14:paraId="249D380E">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9,35</w:t>
            </w:r>
          </w:p>
        </w:tc>
      </w:tr>
      <w:tr w14:paraId="4FF50630">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203783AF">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7E607BF2">
            <w:pPr>
              <w:rPr>
                <w:rFonts w:eastAsia="Times New Roman" w:cs="Calibri"/>
                <w:b/>
                <w:bCs/>
                <w:color w:val="000000"/>
                <w:sz w:val="20"/>
                <w:szCs w:val="20"/>
              </w:rPr>
            </w:pPr>
            <w:r>
              <w:rPr>
                <w:rFonts w:eastAsia="Times New Roman" w:cs="Calibri"/>
                <w:b/>
                <w:bCs/>
                <w:color w:val="000000"/>
                <w:sz w:val="20"/>
                <w:szCs w:val="20"/>
              </w:rPr>
              <w:t>2.3.1.4.</w:t>
            </w:r>
          </w:p>
        </w:tc>
        <w:tc>
          <w:tcPr>
            <w:tcW w:w="2835" w:type="dxa"/>
            <w:tcBorders>
              <w:top w:val="nil"/>
              <w:left w:val="nil"/>
              <w:bottom w:val="single" w:color="auto" w:sz="4" w:space="0"/>
              <w:right w:val="single" w:color="auto" w:sz="4" w:space="0"/>
            </w:tcBorders>
            <w:shd w:val="clear" w:color="auto" w:fill="auto"/>
            <w:vAlign w:val="center"/>
          </w:tcPr>
          <w:p w14:paraId="2F638E56">
            <w:pPr>
              <w:rPr>
                <w:rFonts w:eastAsia="Times New Roman" w:cs="Calibri"/>
                <w:b/>
                <w:bCs/>
                <w:color w:val="000000"/>
                <w:sz w:val="20"/>
                <w:szCs w:val="20"/>
              </w:rPr>
            </w:pPr>
            <w:r>
              <w:rPr>
                <w:rFonts w:eastAsia="Times New Roman" w:cs="Calibri"/>
                <w:b/>
                <w:bCs/>
                <w:color w:val="000000"/>
                <w:sz w:val="20"/>
                <w:szCs w:val="20"/>
              </w:rPr>
              <w:t>Promenade klape Krapanj i Brodarica</w:t>
            </w:r>
          </w:p>
        </w:tc>
        <w:tc>
          <w:tcPr>
            <w:tcW w:w="2126" w:type="dxa"/>
            <w:tcBorders>
              <w:top w:val="nil"/>
              <w:left w:val="nil"/>
              <w:bottom w:val="single" w:color="auto" w:sz="4" w:space="0"/>
              <w:right w:val="single" w:color="auto" w:sz="4" w:space="0"/>
            </w:tcBorders>
            <w:shd w:val="clear" w:color="auto" w:fill="auto"/>
            <w:noWrap/>
            <w:vAlign w:val="center"/>
          </w:tcPr>
          <w:p w14:paraId="5BC2872C">
            <w:pPr>
              <w:jc w:val="right"/>
              <w:rPr>
                <w:rFonts w:eastAsia="Times New Roman" w:cs="Calibri"/>
                <w:b/>
                <w:color w:val="000000"/>
                <w:sz w:val="20"/>
                <w:szCs w:val="20"/>
              </w:rPr>
            </w:pPr>
            <w:r>
              <w:rPr>
                <w:rFonts w:hint="default" w:eastAsia="Times New Roman" w:cs="Calibri"/>
                <w:b/>
                <w:color w:val="000000"/>
                <w:sz w:val="20"/>
                <w:szCs w:val="20"/>
                <w:lang w:val="hr-HR"/>
              </w:rPr>
              <w:t>2.500,00</w:t>
            </w:r>
          </w:p>
        </w:tc>
        <w:tc>
          <w:tcPr>
            <w:tcW w:w="2013" w:type="dxa"/>
            <w:tcBorders>
              <w:top w:val="nil"/>
              <w:left w:val="nil"/>
              <w:bottom w:val="single" w:color="auto" w:sz="4" w:space="0"/>
              <w:right w:val="single" w:color="auto" w:sz="4" w:space="0"/>
            </w:tcBorders>
            <w:shd w:val="clear" w:color="auto" w:fill="auto"/>
            <w:vAlign w:val="center"/>
          </w:tcPr>
          <w:p w14:paraId="15F8B02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6.500,00</w:t>
            </w:r>
          </w:p>
        </w:tc>
        <w:tc>
          <w:tcPr>
            <w:tcW w:w="964" w:type="dxa"/>
            <w:tcBorders>
              <w:top w:val="nil"/>
              <w:left w:val="nil"/>
              <w:bottom w:val="single" w:color="auto" w:sz="4" w:space="0"/>
              <w:right w:val="single" w:color="auto" w:sz="4" w:space="0"/>
            </w:tcBorders>
            <w:shd w:val="clear" w:color="auto" w:fill="auto"/>
            <w:noWrap/>
            <w:vAlign w:val="center"/>
          </w:tcPr>
          <w:p w14:paraId="237730D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12,15</w:t>
            </w:r>
          </w:p>
        </w:tc>
        <w:tc>
          <w:tcPr>
            <w:tcW w:w="708" w:type="dxa"/>
            <w:gridSpan w:val="2"/>
            <w:tcBorders>
              <w:top w:val="nil"/>
              <w:left w:val="nil"/>
              <w:bottom w:val="single" w:color="auto" w:sz="4" w:space="0"/>
              <w:right w:val="single" w:color="auto" w:sz="4" w:space="0"/>
            </w:tcBorders>
            <w:shd w:val="clear" w:color="auto" w:fill="auto"/>
            <w:vAlign w:val="center"/>
          </w:tcPr>
          <w:p w14:paraId="1C26C5B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12,15</w:t>
            </w:r>
          </w:p>
        </w:tc>
      </w:tr>
      <w:tr w14:paraId="38146225">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10257997">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07A70D86">
            <w:pPr>
              <w:rPr>
                <w:rFonts w:eastAsia="Times New Roman" w:cs="Calibri"/>
                <w:b/>
                <w:bCs/>
                <w:color w:val="000000"/>
                <w:sz w:val="20"/>
                <w:szCs w:val="20"/>
              </w:rPr>
            </w:pPr>
            <w:r>
              <w:rPr>
                <w:rFonts w:eastAsia="Times New Roman" w:cs="Calibri"/>
                <w:b/>
                <w:bCs/>
                <w:color w:val="000000"/>
                <w:sz w:val="20"/>
                <w:szCs w:val="20"/>
              </w:rPr>
              <w:t>2.3.1.5.</w:t>
            </w:r>
          </w:p>
        </w:tc>
        <w:tc>
          <w:tcPr>
            <w:tcW w:w="2835" w:type="dxa"/>
            <w:tcBorders>
              <w:top w:val="nil"/>
              <w:left w:val="nil"/>
              <w:bottom w:val="single" w:color="auto" w:sz="4" w:space="0"/>
              <w:right w:val="single" w:color="auto" w:sz="4" w:space="0"/>
            </w:tcBorders>
            <w:shd w:val="clear" w:color="auto" w:fill="auto"/>
            <w:vAlign w:val="center"/>
          </w:tcPr>
          <w:p w14:paraId="365EBAEE">
            <w:pPr>
              <w:rPr>
                <w:rFonts w:eastAsia="Times New Roman" w:cs="Calibri"/>
                <w:b/>
                <w:bCs/>
                <w:color w:val="000000"/>
                <w:sz w:val="20"/>
                <w:szCs w:val="20"/>
              </w:rPr>
            </w:pPr>
            <w:r>
              <w:rPr>
                <w:rFonts w:eastAsia="Times New Roman" w:cs="Calibri"/>
                <w:b/>
                <w:bCs/>
                <w:color w:val="000000"/>
                <w:sz w:val="20"/>
                <w:szCs w:val="20"/>
              </w:rPr>
              <w:t>Pjena party/karaoke/mini disco/aqua zumba kroz ljeto u Brodarici i Krapnju</w:t>
            </w:r>
          </w:p>
        </w:tc>
        <w:tc>
          <w:tcPr>
            <w:tcW w:w="2126" w:type="dxa"/>
            <w:tcBorders>
              <w:top w:val="nil"/>
              <w:left w:val="nil"/>
              <w:bottom w:val="single" w:color="auto" w:sz="4" w:space="0"/>
              <w:right w:val="single" w:color="auto" w:sz="4" w:space="0"/>
            </w:tcBorders>
            <w:shd w:val="clear" w:color="auto" w:fill="auto"/>
            <w:noWrap/>
            <w:vAlign w:val="center"/>
          </w:tcPr>
          <w:p w14:paraId="2D6B263B">
            <w:pPr>
              <w:jc w:val="right"/>
              <w:rPr>
                <w:rFonts w:eastAsia="Times New Roman" w:cs="Calibri"/>
                <w:b/>
                <w:color w:val="000000"/>
                <w:sz w:val="20"/>
                <w:szCs w:val="20"/>
              </w:rPr>
            </w:pPr>
            <w:r>
              <w:rPr>
                <w:rFonts w:hint="default" w:eastAsia="Times New Roman" w:cs="Calibri"/>
                <w:b/>
                <w:color w:val="000000"/>
                <w:sz w:val="20"/>
                <w:szCs w:val="20"/>
                <w:lang w:val="hr-HR"/>
              </w:rPr>
              <w:t>2.500,00</w:t>
            </w:r>
          </w:p>
        </w:tc>
        <w:tc>
          <w:tcPr>
            <w:tcW w:w="2013" w:type="dxa"/>
            <w:tcBorders>
              <w:top w:val="nil"/>
              <w:left w:val="nil"/>
              <w:bottom w:val="single" w:color="auto" w:sz="4" w:space="0"/>
              <w:right w:val="single" w:color="auto" w:sz="4" w:space="0"/>
            </w:tcBorders>
            <w:shd w:val="clear" w:color="auto" w:fill="auto"/>
            <w:vAlign w:val="center"/>
          </w:tcPr>
          <w:p w14:paraId="68734233">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3.500,00</w:t>
            </w:r>
          </w:p>
        </w:tc>
        <w:tc>
          <w:tcPr>
            <w:tcW w:w="964" w:type="dxa"/>
            <w:tcBorders>
              <w:top w:val="nil"/>
              <w:left w:val="nil"/>
              <w:bottom w:val="single" w:color="auto" w:sz="4" w:space="0"/>
              <w:right w:val="single" w:color="auto" w:sz="4" w:space="0"/>
            </w:tcBorders>
            <w:shd w:val="clear" w:color="auto" w:fill="auto"/>
            <w:noWrap/>
            <w:vAlign w:val="center"/>
          </w:tcPr>
          <w:p w14:paraId="587BC95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140</w:t>
            </w:r>
          </w:p>
        </w:tc>
        <w:tc>
          <w:tcPr>
            <w:tcW w:w="708" w:type="dxa"/>
            <w:gridSpan w:val="2"/>
            <w:tcBorders>
              <w:top w:val="nil"/>
              <w:left w:val="nil"/>
              <w:bottom w:val="single" w:color="auto" w:sz="4" w:space="0"/>
              <w:right w:val="single" w:color="auto" w:sz="4" w:space="0"/>
            </w:tcBorders>
            <w:shd w:val="clear" w:color="auto" w:fill="auto"/>
            <w:vAlign w:val="center"/>
          </w:tcPr>
          <w:p w14:paraId="058FC68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6,54</w:t>
            </w:r>
          </w:p>
        </w:tc>
      </w:tr>
      <w:tr w14:paraId="409E0420">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682F86C1">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auto"/>
            <w:vAlign w:val="center"/>
          </w:tcPr>
          <w:p w14:paraId="410DB0E1">
            <w:pPr>
              <w:rPr>
                <w:rFonts w:eastAsia="Times New Roman" w:cs="Calibri"/>
                <w:b/>
                <w:bCs/>
                <w:color w:val="000000"/>
                <w:sz w:val="20"/>
                <w:szCs w:val="20"/>
              </w:rPr>
            </w:pPr>
            <w:r>
              <w:rPr>
                <w:rFonts w:eastAsia="Times New Roman" w:cs="Calibri"/>
                <w:b/>
                <w:bCs/>
                <w:color w:val="000000"/>
                <w:sz w:val="20"/>
                <w:szCs w:val="20"/>
              </w:rPr>
              <w:t>2.3.1.</w:t>
            </w:r>
            <w:r>
              <w:rPr>
                <w:rFonts w:hint="default" w:eastAsia="Times New Roman" w:cs="Calibri"/>
                <w:b/>
                <w:bCs/>
                <w:color w:val="000000"/>
                <w:sz w:val="20"/>
                <w:szCs w:val="20"/>
                <w:lang w:val="hr-HR"/>
              </w:rPr>
              <w:t>6</w:t>
            </w:r>
            <w:r>
              <w:rPr>
                <w:rFonts w:eastAsia="Times New Roman" w:cs="Calibri"/>
                <w:b/>
                <w:bCs/>
                <w:color w:val="000000"/>
                <w:sz w:val="20"/>
                <w:szCs w:val="20"/>
              </w:rPr>
              <w:t>.</w:t>
            </w:r>
          </w:p>
        </w:tc>
        <w:tc>
          <w:tcPr>
            <w:tcW w:w="2835" w:type="dxa"/>
            <w:tcBorders>
              <w:top w:val="nil"/>
              <w:left w:val="nil"/>
              <w:bottom w:val="single" w:color="auto" w:sz="4" w:space="0"/>
              <w:right w:val="single" w:color="auto" w:sz="4" w:space="0"/>
            </w:tcBorders>
            <w:shd w:val="clear" w:color="auto" w:fill="auto"/>
            <w:vAlign w:val="center"/>
          </w:tcPr>
          <w:p w14:paraId="458B36F9">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Uskršnji doručak otok Krapanj</w:t>
            </w:r>
          </w:p>
        </w:tc>
        <w:tc>
          <w:tcPr>
            <w:tcW w:w="2126" w:type="dxa"/>
            <w:tcBorders>
              <w:top w:val="nil"/>
              <w:left w:val="nil"/>
              <w:bottom w:val="single" w:color="auto" w:sz="4" w:space="0"/>
              <w:right w:val="single" w:color="auto" w:sz="4" w:space="0"/>
            </w:tcBorders>
            <w:shd w:val="clear" w:color="auto" w:fill="auto"/>
            <w:noWrap/>
            <w:vAlign w:val="center"/>
          </w:tcPr>
          <w:p w14:paraId="2BD67F72">
            <w:pPr>
              <w:jc w:val="right"/>
              <w:rPr>
                <w:rFonts w:eastAsia="Times New Roman" w:cs="Calibri"/>
                <w:b/>
                <w:color w:val="000000"/>
                <w:sz w:val="20"/>
                <w:szCs w:val="20"/>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auto" w:fill="auto"/>
            <w:vAlign w:val="center"/>
          </w:tcPr>
          <w:p w14:paraId="41CD4BC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4.000,00</w:t>
            </w:r>
          </w:p>
        </w:tc>
        <w:tc>
          <w:tcPr>
            <w:tcW w:w="964" w:type="dxa"/>
            <w:tcBorders>
              <w:top w:val="nil"/>
              <w:left w:val="nil"/>
              <w:bottom w:val="single" w:color="auto" w:sz="4" w:space="0"/>
              <w:right w:val="single" w:color="auto" w:sz="4" w:space="0"/>
            </w:tcBorders>
            <w:shd w:val="clear" w:color="auto" w:fill="auto"/>
            <w:noWrap/>
            <w:vAlign w:val="center"/>
          </w:tcPr>
          <w:p w14:paraId="6B21A9B2">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auto" w:fill="auto"/>
            <w:vAlign w:val="center"/>
          </w:tcPr>
          <w:p w14:paraId="44EE8072">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7,48</w:t>
            </w:r>
          </w:p>
        </w:tc>
      </w:tr>
      <w:tr w14:paraId="1BD35D99">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23B9B0D8">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auto"/>
            <w:vAlign w:val="center"/>
          </w:tcPr>
          <w:p w14:paraId="3364DD98">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2.3.1.7.</w:t>
            </w:r>
          </w:p>
        </w:tc>
        <w:tc>
          <w:tcPr>
            <w:tcW w:w="2835" w:type="dxa"/>
            <w:tcBorders>
              <w:top w:val="nil"/>
              <w:left w:val="nil"/>
              <w:bottom w:val="single" w:color="auto" w:sz="4" w:space="0"/>
              <w:right w:val="single" w:color="auto" w:sz="4" w:space="0"/>
            </w:tcBorders>
            <w:shd w:val="clear" w:color="auto" w:fill="auto"/>
            <w:vAlign w:val="center"/>
          </w:tcPr>
          <w:p w14:paraId="0B571F72">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Glazbene večeri Krapanj i Brodarica</w:t>
            </w:r>
          </w:p>
        </w:tc>
        <w:tc>
          <w:tcPr>
            <w:tcW w:w="2126" w:type="dxa"/>
            <w:tcBorders>
              <w:top w:val="nil"/>
              <w:left w:val="nil"/>
              <w:bottom w:val="single" w:color="auto" w:sz="4" w:space="0"/>
              <w:right w:val="single" w:color="auto" w:sz="4" w:space="0"/>
            </w:tcBorders>
            <w:shd w:val="clear" w:color="auto" w:fill="auto"/>
            <w:noWrap/>
            <w:vAlign w:val="center"/>
          </w:tcPr>
          <w:p w14:paraId="5B78414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auto" w:fill="auto"/>
            <w:vAlign w:val="center"/>
          </w:tcPr>
          <w:p w14:paraId="33EE586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5.000,00</w:t>
            </w:r>
          </w:p>
        </w:tc>
        <w:tc>
          <w:tcPr>
            <w:tcW w:w="964" w:type="dxa"/>
            <w:tcBorders>
              <w:top w:val="nil"/>
              <w:left w:val="nil"/>
              <w:bottom w:val="single" w:color="auto" w:sz="4" w:space="0"/>
              <w:right w:val="single" w:color="auto" w:sz="4" w:space="0"/>
            </w:tcBorders>
            <w:shd w:val="clear" w:color="auto" w:fill="auto"/>
            <w:noWrap/>
            <w:vAlign w:val="center"/>
          </w:tcPr>
          <w:p w14:paraId="66B39E2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auto" w:fill="auto"/>
            <w:vAlign w:val="center"/>
          </w:tcPr>
          <w:p w14:paraId="5CAFECD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9,35</w:t>
            </w:r>
          </w:p>
        </w:tc>
      </w:tr>
      <w:tr w14:paraId="4D738E33">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5FA3B340">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auto"/>
            <w:vAlign w:val="center"/>
          </w:tcPr>
          <w:p w14:paraId="59E76903">
            <w:pPr>
              <w:rPr>
                <w:rFonts w:eastAsia="Times New Roman" w:cs="Calibri"/>
                <w:b/>
                <w:bCs/>
                <w:color w:val="000000"/>
                <w:sz w:val="20"/>
                <w:szCs w:val="20"/>
              </w:rPr>
            </w:pPr>
            <w:r>
              <w:rPr>
                <w:rFonts w:eastAsia="Times New Roman" w:cs="Calibri"/>
                <w:b/>
                <w:bCs/>
                <w:color w:val="000000"/>
                <w:sz w:val="20"/>
                <w:szCs w:val="20"/>
              </w:rPr>
              <w:t>2.3.1.</w:t>
            </w:r>
            <w:r>
              <w:rPr>
                <w:rFonts w:hint="default" w:eastAsia="Times New Roman" w:cs="Calibri"/>
                <w:b/>
                <w:bCs/>
                <w:color w:val="000000"/>
                <w:sz w:val="20"/>
                <w:szCs w:val="20"/>
                <w:lang w:val="hr-HR"/>
              </w:rPr>
              <w:t>8</w:t>
            </w:r>
            <w:r>
              <w:rPr>
                <w:rFonts w:eastAsia="Times New Roman" w:cs="Calibri"/>
                <w:b/>
                <w:bCs/>
                <w:color w:val="000000"/>
                <w:sz w:val="20"/>
                <w:szCs w:val="20"/>
              </w:rPr>
              <w:t>.</w:t>
            </w:r>
          </w:p>
        </w:tc>
        <w:tc>
          <w:tcPr>
            <w:tcW w:w="2835" w:type="dxa"/>
            <w:tcBorders>
              <w:top w:val="nil"/>
              <w:left w:val="nil"/>
              <w:bottom w:val="single" w:color="auto" w:sz="4" w:space="0"/>
              <w:right w:val="single" w:color="auto" w:sz="4" w:space="0"/>
            </w:tcBorders>
            <w:shd w:val="clear" w:color="auto" w:fill="auto"/>
            <w:vAlign w:val="center"/>
          </w:tcPr>
          <w:p w14:paraId="2FED1661">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Dječje radionice</w:t>
            </w:r>
          </w:p>
        </w:tc>
        <w:tc>
          <w:tcPr>
            <w:tcW w:w="2126" w:type="dxa"/>
            <w:tcBorders>
              <w:top w:val="nil"/>
              <w:left w:val="nil"/>
              <w:bottom w:val="single" w:color="auto" w:sz="4" w:space="0"/>
              <w:right w:val="single" w:color="auto" w:sz="4" w:space="0"/>
            </w:tcBorders>
            <w:shd w:val="clear" w:color="auto" w:fill="auto"/>
            <w:noWrap/>
            <w:vAlign w:val="center"/>
          </w:tcPr>
          <w:p w14:paraId="48FFC126">
            <w:pPr>
              <w:jc w:val="right"/>
              <w:rPr>
                <w:rFonts w:eastAsia="Times New Roman" w:cs="Calibri"/>
                <w:b/>
                <w:color w:val="000000"/>
                <w:sz w:val="20"/>
                <w:szCs w:val="20"/>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auto" w:fill="auto"/>
            <w:vAlign w:val="center"/>
          </w:tcPr>
          <w:p w14:paraId="4FC2021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auto"/>
            <w:noWrap/>
            <w:vAlign w:val="center"/>
          </w:tcPr>
          <w:p w14:paraId="03A06D8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auto" w:fill="auto"/>
            <w:vAlign w:val="center"/>
          </w:tcPr>
          <w:p w14:paraId="2BD09F5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5,61</w:t>
            </w:r>
          </w:p>
        </w:tc>
      </w:tr>
      <w:tr w14:paraId="2060855A">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452851D6">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vAlign w:val="center"/>
          </w:tcPr>
          <w:p w14:paraId="34C47C6E">
            <w:pPr>
              <w:rPr>
                <w:rFonts w:eastAsia="Times New Roman" w:cs="Calibri"/>
                <w:b/>
                <w:bCs/>
                <w:color w:val="000000"/>
                <w:sz w:val="20"/>
                <w:szCs w:val="20"/>
              </w:rPr>
            </w:pPr>
            <w:r>
              <w:rPr>
                <w:rFonts w:eastAsia="Times New Roman" w:cs="Calibri"/>
                <w:b/>
                <w:bCs/>
                <w:color w:val="000000"/>
                <w:sz w:val="20"/>
                <w:szCs w:val="20"/>
              </w:rPr>
              <w:t>2.3.1.</w:t>
            </w:r>
            <w:r>
              <w:rPr>
                <w:rFonts w:hint="default" w:eastAsia="Times New Roman" w:cs="Calibri"/>
                <w:b/>
                <w:bCs/>
                <w:color w:val="000000"/>
                <w:sz w:val="20"/>
                <w:szCs w:val="20"/>
                <w:lang w:val="hr-HR"/>
              </w:rPr>
              <w:t>9</w:t>
            </w:r>
            <w:r>
              <w:rPr>
                <w:rFonts w:eastAsia="Times New Roman" w:cs="Calibri"/>
                <w:b/>
                <w:bCs/>
                <w:color w:val="000000"/>
                <w:sz w:val="20"/>
                <w:szCs w:val="20"/>
              </w:rPr>
              <w:t>.</w:t>
            </w:r>
          </w:p>
        </w:tc>
        <w:tc>
          <w:tcPr>
            <w:tcW w:w="2835" w:type="dxa"/>
            <w:tcBorders>
              <w:top w:val="nil"/>
              <w:left w:val="nil"/>
              <w:bottom w:val="single" w:color="auto" w:sz="4" w:space="0"/>
              <w:right w:val="single" w:color="auto" w:sz="4" w:space="0"/>
            </w:tcBorders>
            <w:shd w:val="clear" w:color="auto" w:fill="FFFFFF" w:themeFill="background1"/>
            <w:vAlign w:val="center"/>
          </w:tcPr>
          <w:p w14:paraId="35305CFB">
            <w:pPr>
              <w:rPr>
                <w:rFonts w:eastAsia="Times New Roman" w:cs="Calibri"/>
                <w:b/>
                <w:bCs/>
                <w:color w:val="000000"/>
                <w:sz w:val="20"/>
                <w:szCs w:val="20"/>
              </w:rPr>
            </w:pPr>
            <w:r>
              <w:rPr>
                <w:rFonts w:eastAsia="Times New Roman" w:cs="Calibri"/>
                <w:b/>
                <w:bCs/>
                <w:color w:val="000000"/>
                <w:sz w:val="20"/>
                <w:szCs w:val="20"/>
              </w:rPr>
              <w:t>Brodariške maškare</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01990BB7">
            <w:pPr>
              <w:jc w:val="right"/>
              <w:rPr>
                <w:rFonts w:eastAsia="Times New Roman" w:cs="Calibri"/>
                <w:b/>
                <w:color w:val="000000"/>
                <w:sz w:val="20"/>
                <w:szCs w:val="20"/>
              </w:rPr>
            </w:pPr>
            <w:r>
              <w:rPr>
                <w:rFonts w:hint="default" w:eastAsia="Times New Roman" w:cs="Calibri"/>
                <w:b/>
                <w:color w:val="000000"/>
                <w:sz w:val="20"/>
                <w:szCs w:val="20"/>
                <w:lang w:val="hr-HR"/>
              </w:rPr>
              <w:t>5.000,00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1C288001">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FFFFFF" w:themeFill="background1"/>
            <w:noWrap/>
            <w:vAlign w:val="center"/>
          </w:tcPr>
          <w:p w14:paraId="403B7B7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w:t>
            </w:r>
          </w:p>
        </w:tc>
        <w:tc>
          <w:tcPr>
            <w:tcW w:w="708" w:type="dxa"/>
            <w:gridSpan w:val="2"/>
            <w:tcBorders>
              <w:top w:val="nil"/>
              <w:left w:val="nil"/>
              <w:bottom w:val="single" w:color="auto" w:sz="4" w:space="0"/>
              <w:right w:val="single" w:color="auto" w:sz="4" w:space="0"/>
            </w:tcBorders>
            <w:shd w:val="clear" w:color="auto" w:fill="FFFFFF" w:themeFill="background1"/>
            <w:vAlign w:val="center"/>
          </w:tcPr>
          <w:p w14:paraId="0F1A242E">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6,06</w:t>
            </w:r>
          </w:p>
        </w:tc>
      </w:tr>
      <w:tr w14:paraId="222F6A86">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62E5A586">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vAlign w:val="center"/>
          </w:tcPr>
          <w:p w14:paraId="47769DC2">
            <w:pPr>
              <w:rPr>
                <w:rFonts w:eastAsia="Times New Roman" w:cs="Calibri"/>
                <w:b/>
                <w:bCs/>
                <w:color w:val="000000"/>
                <w:sz w:val="20"/>
                <w:szCs w:val="20"/>
              </w:rPr>
            </w:pPr>
            <w:r>
              <w:rPr>
                <w:rFonts w:eastAsia="Times New Roman" w:cs="Calibri"/>
                <w:b/>
                <w:bCs/>
                <w:color w:val="000000"/>
                <w:sz w:val="20"/>
                <w:szCs w:val="20"/>
              </w:rPr>
              <w:t>2.3.1.1</w:t>
            </w:r>
            <w:r>
              <w:rPr>
                <w:rFonts w:hint="default" w:eastAsia="Times New Roman" w:cs="Calibri"/>
                <w:b/>
                <w:bCs/>
                <w:color w:val="000000"/>
                <w:sz w:val="20"/>
                <w:szCs w:val="20"/>
                <w:lang w:val="hr-HR"/>
              </w:rPr>
              <w:t>0</w:t>
            </w:r>
            <w:r>
              <w:rPr>
                <w:rFonts w:eastAsia="Times New Roman" w:cs="Calibri"/>
                <w:b/>
                <w:bCs/>
                <w:color w:val="000000"/>
                <w:sz w:val="20"/>
                <w:szCs w:val="20"/>
              </w:rPr>
              <w:t>.</w:t>
            </w:r>
          </w:p>
        </w:tc>
        <w:tc>
          <w:tcPr>
            <w:tcW w:w="2835" w:type="dxa"/>
            <w:tcBorders>
              <w:top w:val="nil"/>
              <w:left w:val="nil"/>
              <w:bottom w:val="single" w:color="auto" w:sz="4" w:space="0"/>
              <w:right w:val="single" w:color="auto" w:sz="4" w:space="0"/>
            </w:tcBorders>
            <w:shd w:val="clear" w:color="auto" w:fill="FFFFFF" w:themeFill="background1"/>
            <w:vAlign w:val="center"/>
          </w:tcPr>
          <w:p w14:paraId="354BB5CA">
            <w:pPr>
              <w:rPr>
                <w:rFonts w:eastAsia="Times New Roman" w:cs="Calibri"/>
                <w:b/>
                <w:bCs/>
                <w:color w:val="000000"/>
                <w:sz w:val="20"/>
                <w:szCs w:val="20"/>
              </w:rPr>
            </w:pPr>
            <w:r>
              <w:rPr>
                <w:rFonts w:eastAsia="Times New Roman" w:cs="Calibri"/>
                <w:b/>
                <w:bCs/>
                <w:color w:val="000000"/>
                <w:sz w:val="20"/>
                <w:szCs w:val="20"/>
              </w:rPr>
              <w:t>Advent u Brodarici</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6E698CD7">
            <w:pPr>
              <w:jc w:val="right"/>
              <w:rPr>
                <w:rFonts w:eastAsia="Times New Roman" w:cs="Calibri"/>
                <w:b/>
                <w:color w:val="000000"/>
                <w:sz w:val="20"/>
                <w:szCs w:val="20"/>
              </w:rPr>
            </w:pPr>
            <w:r>
              <w:rPr>
                <w:rFonts w:hint="default" w:eastAsia="Times New Roman" w:cs="Calibri"/>
                <w:b/>
                <w:color w:val="000000"/>
                <w:sz w:val="20"/>
                <w:szCs w:val="20"/>
                <w:lang w:val="hr-HR"/>
              </w:rPr>
              <w:t>3.000,00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53C3663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FFFFFF" w:themeFill="background1"/>
            <w:noWrap/>
            <w:vAlign w:val="center"/>
          </w:tcPr>
          <w:p w14:paraId="72BD6FD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c>
          <w:tcPr>
            <w:tcW w:w="708" w:type="dxa"/>
            <w:gridSpan w:val="2"/>
            <w:tcBorders>
              <w:top w:val="nil"/>
              <w:left w:val="nil"/>
              <w:bottom w:val="single" w:color="auto" w:sz="4" w:space="0"/>
              <w:right w:val="single" w:color="auto" w:sz="4" w:space="0"/>
            </w:tcBorders>
            <w:shd w:val="clear" w:color="auto" w:fill="FFFFFF" w:themeFill="background1"/>
            <w:vAlign w:val="center"/>
          </w:tcPr>
          <w:p w14:paraId="631FD400">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5,61</w:t>
            </w:r>
          </w:p>
        </w:tc>
      </w:tr>
      <w:tr w14:paraId="7403806D">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42CE5F66">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vAlign w:val="center"/>
          </w:tcPr>
          <w:p w14:paraId="6D5F82C3">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2.3.1.11.</w:t>
            </w:r>
          </w:p>
        </w:tc>
        <w:tc>
          <w:tcPr>
            <w:tcW w:w="2835" w:type="dxa"/>
            <w:tcBorders>
              <w:top w:val="nil"/>
              <w:left w:val="nil"/>
              <w:bottom w:val="single" w:color="auto" w:sz="4" w:space="0"/>
              <w:right w:val="single" w:color="auto" w:sz="4" w:space="0"/>
            </w:tcBorders>
            <w:shd w:val="clear" w:color="auto" w:fill="FFFFFF" w:themeFill="background1"/>
            <w:vAlign w:val="center"/>
          </w:tcPr>
          <w:p w14:paraId="1EEB0870">
            <w:pPr>
              <w:rPr>
                <w:rFonts w:hint="default" w:eastAsia="Times New Roman" w:cs="Calibri"/>
                <w:b/>
                <w:bCs/>
                <w:color w:val="000000"/>
                <w:sz w:val="20"/>
                <w:szCs w:val="20"/>
                <w:lang w:val="hr-HR"/>
              </w:rPr>
            </w:pPr>
            <w:r>
              <w:rPr>
                <w:rFonts w:hint="default" w:eastAsia="Times New Roman" w:cs="Calibri"/>
                <w:b/>
                <w:bCs/>
                <w:color w:val="000000"/>
                <w:sz w:val="20"/>
                <w:szCs w:val="20"/>
                <w:lang w:val="hr-HR"/>
              </w:rPr>
              <w:t>Maratuša beach party</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00E05E1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2.000,00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555CC60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FFFFFF" w:themeFill="background1"/>
            <w:noWrap/>
            <w:vAlign w:val="center"/>
          </w:tcPr>
          <w:p w14:paraId="0DF7DA0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150</w:t>
            </w:r>
          </w:p>
        </w:tc>
        <w:tc>
          <w:tcPr>
            <w:tcW w:w="708" w:type="dxa"/>
            <w:gridSpan w:val="2"/>
            <w:tcBorders>
              <w:top w:val="nil"/>
              <w:left w:val="nil"/>
              <w:bottom w:val="single" w:color="auto" w:sz="4" w:space="0"/>
              <w:right w:val="single" w:color="auto" w:sz="4" w:space="0"/>
            </w:tcBorders>
            <w:shd w:val="clear" w:color="auto" w:fill="FFFFFF" w:themeFill="background1"/>
            <w:vAlign w:val="center"/>
          </w:tcPr>
          <w:p w14:paraId="549717B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5,61</w:t>
            </w:r>
          </w:p>
        </w:tc>
      </w:tr>
      <w:tr w14:paraId="73EDCBFF">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2C048553">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vAlign w:val="center"/>
          </w:tcPr>
          <w:p w14:paraId="2DF22B12">
            <w:pPr>
              <w:rPr>
                <w:rFonts w:eastAsia="Times New Roman" w:cs="Calibri"/>
                <w:b/>
                <w:bCs/>
                <w:color w:val="000000"/>
                <w:sz w:val="20"/>
                <w:szCs w:val="20"/>
              </w:rPr>
            </w:pPr>
            <w:r>
              <w:rPr>
                <w:rFonts w:eastAsia="Times New Roman" w:cs="Calibri"/>
                <w:b/>
                <w:bCs/>
                <w:color w:val="000000"/>
                <w:sz w:val="20"/>
                <w:szCs w:val="20"/>
              </w:rPr>
              <w:t>2.3.1.1</w:t>
            </w:r>
            <w:r>
              <w:rPr>
                <w:rFonts w:hint="default" w:eastAsia="Times New Roman" w:cs="Calibri"/>
                <w:b/>
                <w:bCs/>
                <w:color w:val="000000"/>
                <w:sz w:val="20"/>
                <w:szCs w:val="20"/>
                <w:lang w:val="hr-HR"/>
              </w:rPr>
              <w:t>2</w:t>
            </w:r>
            <w:r>
              <w:rPr>
                <w:rFonts w:eastAsia="Times New Roman" w:cs="Calibri"/>
                <w:b/>
                <w:bCs/>
                <w:color w:val="000000"/>
                <w:sz w:val="20"/>
                <w:szCs w:val="20"/>
              </w:rPr>
              <w:t>.</w:t>
            </w:r>
          </w:p>
        </w:tc>
        <w:tc>
          <w:tcPr>
            <w:tcW w:w="2835" w:type="dxa"/>
            <w:tcBorders>
              <w:top w:val="nil"/>
              <w:left w:val="nil"/>
              <w:bottom w:val="single" w:color="auto" w:sz="4" w:space="0"/>
              <w:right w:val="single" w:color="auto" w:sz="4" w:space="0"/>
            </w:tcBorders>
            <w:shd w:val="clear" w:color="auto" w:fill="FFFFFF" w:themeFill="background1"/>
            <w:vAlign w:val="center"/>
          </w:tcPr>
          <w:p w14:paraId="5E1701F2">
            <w:pPr>
              <w:rPr>
                <w:rFonts w:eastAsia="Times New Roman" w:cs="Calibri"/>
                <w:b/>
                <w:bCs/>
                <w:color w:val="000000"/>
                <w:sz w:val="20"/>
                <w:szCs w:val="20"/>
              </w:rPr>
            </w:pPr>
            <w:r>
              <w:rPr>
                <w:rFonts w:eastAsia="Times New Roman" w:cs="Calibri"/>
                <w:b/>
                <w:bCs/>
                <w:color w:val="000000"/>
                <w:sz w:val="20"/>
                <w:szCs w:val="20"/>
              </w:rPr>
              <w:t>Potpore manifestacijama i donacije za organizaciju</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23CD4A50">
            <w:pPr>
              <w:jc w:val="right"/>
              <w:rPr>
                <w:rFonts w:eastAsia="Times New Roman" w:cs="Calibri"/>
                <w:b/>
                <w:color w:val="000000"/>
                <w:sz w:val="20"/>
                <w:szCs w:val="20"/>
              </w:rPr>
            </w:pPr>
            <w:r>
              <w:rPr>
                <w:rFonts w:hint="default" w:eastAsia="Times New Roman" w:cs="Calibri"/>
                <w:b/>
                <w:color w:val="000000"/>
                <w:sz w:val="20"/>
                <w:szCs w:val="20"/>
                <w:lang w:val="hr-HR"/>
              </w:rPr>
              <w:t>10.000,00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09AB7F99">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FFFFFF" w:themeFill="background1"/>
            <w:noWrap/>
            <w:vAlign w:val="center"/>
          </w:tcPr>
          <w:p w14:paraId="6CA1CCC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w:t>
            </w:r>
          </w:p>
        </w:tc>
        <w:tc>
          <w:tcPr>
            <w:tcW w:w="708" w:type="dxa"/>
            <w:gridSpan w:val="2"/>
            <w:tcBorders>
              <w:top w:val="nil"/>
              <w:left w:val="nil"/>
              <w:bottom w:val="single" w:color="auto" w:sz="4" w:space="0"/>
              <w:right w:val="single" w:color="auto" w:sz="4" w:space="0"/>
            </w:tcBorders>
            <w:shd w:val="clear" w:color="auto" w:fill="FFFFFF" w:themeFill="background1"/>
            <w:vAlign w:val="center"/>
          </w:tcPr>
          <w:p w14:paraId="15FD9A52">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6,06</w:t>
            </w:r>
          </w:p>
        </w:tc>
      </w:tr>
      <w:tr w14:paraId="2638FE81">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4548CD97">
            <w:pPr>
              <w:rPr>
                <w:rFonts w:eastAsia="Times New Roman" w:cs="Calibri"/>
                <w:b/>
                <w:bCs/>
                <w:color w:val="000000"/>
                <w:sz w:val="20"/>
                <w:szCs w:val="20"/>
              </w:rPr>
            </w:pPr>
            <w:r>
              <w:rPr>
                <w:rFonts w:eastAsia="Times New Roman" w:cs="Calibri"/>
                <w:b/>
                <w:bCs/>
                <w:color w:val="000000"/>
                <w:sz w:val="20"/>
                <w:szCs w:val="20"/>
              </w:rPr>
              <w:t>3.</w:t>
            </w:r>
          </w:p>
        </w:tc>
        <w:tc>
          <w:tcPr>
            <w:tcW w:w="709" w:type="dxa"/>
            <w:tcBorders>
              <w:top w:val="nil"/>
              <w:left w:val="nil"/>
              <w:bottom w:val="single" w:color="auto" w:sz="4" w:space="0"/>
              <w:right w:val="single" w:color="auto" w:sz="4" w:space="0"/>
            </w:tcBorders>
            <w:shd w:val="clear" w:color="000000" w:fill="DDEBF7"/>
            <w:vAlign w:val="center"/>
          </w:tcPr>
          <w:p w14:paraId="276C3249">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63AFC294">
            <w:pPr>
              <w:rPr>
                <w:rFonts w:eastAsia="Times New Roman" w:cs="Calibri"/>
                <w:b/>
                <w:bCs/>
                <w:color w:val="000000"/>
                <w:sz w:val="20"/>
                <w:szCs w:val="20"/>
              </w:rPr>
            </w:pPr>
            <w:r>
              <w:rPr>
                <w:rFonts w:eastAsia="Times New Roman" w:cs="Calibri"/>
                <w:b/>
                <w:bCs/>
                <w:color w:val="000000"/>
                <w:sz w:val="20"/>
                <w:szCs w:val="20"/>
              </w:rPr>
              <w:t>KOMUNIKACIJA I OGLAŠAVANJE</w:t>
            </w:r>
          </w:p>
        </w:tc>
        <w:tc>
          <w:tcPr>
            <w:tcW w:w="2126" w:type="dxa"/>
            <w:tcBorders>
              <w:top w:val="nil"/>
              <w:left w:val="nil"/>
              <w:bottom w:val="single" w:color="auto" w:sz="4" w:space="0"/>
              <w:right w:val="single" w:color="auto" w:sz="4" w:space="0"/>
            </w:tcBorders>
            <w:shd w:val="clear" w:color="000000" w:fill="DDEBF7"/>
            <w:noWrap/>
            <w:vAlign w:val="center"/>
          </w:tcPr>
          <w:p w14:paraId="684262EB">
            <w:pPr>
              <w:jc w:val="right"/>
              <w:rPr>
                <w:rFonts w:eastAsia="Times New Roman" w:cs="Calibri"/>
                <w:b/>
                <w:color w:val="000000"/>
                <w:sz w:val="20"/>
                <w:szCs w:val="20"/>
              </w:rPr>
            </w:pPr>
            <w:r>
              <w:rPr>
                <w:rFonts w:hint="default" w:eastAsia="Times New Roman" w:cs="Calibri"/>
                <w:b/>
                <w:color w:val="000000"/>
                <w:sz w:val="20"/>
                <w:szCs w:val="20"/>
                <w:lang w:val="hr-HR"/>
              </w:rPr>
              <w:t>14.000,00</w:t>
            </w:r>
          </w:p>
        </w:tc>
        <w:tc>
          <w:tcPr>
            <w:tcW w:w="2013" w:type="dxa"/>
            <w:tcBorders>
              <w:top w:val="nil"/>
              <w:left w:val="nil"/>
              <w:bottom w:val="single" w:color="auto" w:sz="4" w:space="0"/>
              <w:right w:val="single" w:color="auto" w:sz="4" w:space="0"/>
            </w:tcBorders>
            <w:shd w:val="clear" w:color="000000" w:fill="DDEBF7"/>
            <w:vAlign w:val="center"/>
          </w:tcPr>
          <w:p w14:paraId="4C76B540">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13.000,00</w:t>
            </w:r>
          </w:p>
        </w:tc>
        <w:tc>
          <w:tcPr>
            <w:tcW w:w="964" w:type="dxa"/>
            <w:tcBorders>
              <w:top w:val="nil"/>
              <w:left w:val="nil"/>
              <w:bottom w:val="single" w:color="auto" w:sz="4" w:space="0"/>
              <w:right w:val="single" w:color="auto" w:sz="4" w:space="0"/>
            </w:tcBorders>
            <w:shd w:val="clear" w:color="000000" w:fill="DDEBF7"/>
            <w:noWrap/>
            <w:vAlign w:val="center"/>
          </w:tcPr>
          <w:p w14:paraId="7BCE025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92,86</w:t>
            </w:r>
          </w:p>
        </w:tc>
        <w:tc>
          <w:tcPr>
            <w:tcW w:w="708" w:type="dxa"/>
            <w:gridSpan w:val="2"/>
            <w:tcBorders>
              <w:top w:val="nil"/>
              <w:left w:val="nil"/>
              <w:bottom w:val="single" w:color="auto" w:sz="4" w:space="0"/>
              <w:right w:val="single" w:color="auto" w:sz="4" w:space="0"/>
            </w:tcBorders>
            <w:shd w:val="clear" w:color="000000" w:fill="DDEBF7"/>
            <w:vAlign w:val="center"/>
          </w:tcPr>
          <w:p w14:paraId="0A38FA32">
            <w:pPr>
              <w:jc w:val="center"/>
              <w:rPr>
                <w:rFonts w:eastAsia="Times New Roman" w:cs="Calibri"/>
                <w:b/>
                <w:color w:val="000000"/>
                <w:sz w:val="20"/>
                <w:szCs w:val="20"/>
              </w:rPr>
            </w:pPr>
            <w:r>
              <w:rPr>
                <w:rFonts w:eastAsia="Times New Roman" w:cs="Calibri"/>
                <w:b/>
                <w:color w:val="000000"/>
                <w:sz w:val="20"/>
                <w:szCs w:val="20"/>
              </w:rPr>
              <w:t xml:space="preserve">     100</w:t>
            </w:r>
          </w:p>
        </w:tc>
      </w:tr>
      <w:tr w14:paraId="24FACC41">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noWrap/>
            <w:vAlign w:val="center"/>
          </w:tcPr>
          <w:p w14:paraId="7C39D216">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4606ED29">
            <w:pPr>
              <w:rPr>
                <w:rFonts w:eastAsia="Times New Roman" w:cs="Calibri"/>
                <w:b/>
                <w:bCs/>
                <w:color w:val="000000"/>
                <w:sz w:val="20"/>
                <w:szCs w:val="20"/>
              </w:rPr>
            </w:pPr>
            <w:r>
              <w:rPr>
                <w:rFonts w:eastAsia="Times New Roman" w:cs="Calibri"/>
                <w:b/>
                <w:bCs/>
                <w:color w:val="000000"/>
                <w:sz w:val="20"/>
                <w:szCs w:val="20"/>
              </w:rPr>
              <w:t>3.1.</w:t>
            </w:r>
          </w:p>
        </w:tc>
        <w:tc>
          <w:tcPr>
            <w:tcW w:w="2835" w:type="dxa"/>
            <w:tcBorders>
              <w:top w:val="nil"/>
              <w:left w:val="nil"/>
              <w:bottom w:val="single" w:color="auto" w:sz="4" w:space="0"/>
              <w:right w:val="single" w:color="auto" w:sz="4" w:space="0"/>
            </w:tcBorders>
            <w:shd w:val="clear" w:color="auto" w:fill="auto"/>
            <w:vAlign w:val="center"/>
          </w:tcPr>
          <w:p w14:paraId="12FA41DF">
            <w:pPr>
              <w:rPr>
                <w:rFonts w:eastAsia="Times New Roman" w:cs="Calibri"/>
                <w:b/>
                <w:bCs/>
                <w:color w:val="000000"/>
                <w:sz w:val="20"/>
                <w:szCs w:val="20"/>
              </w:rPr>
            </w:pPr>
            <w:r>
              <w:rPr>
                <w:rFonts w:eastAsia="Times New Roman" w:cs="Calibri"/>
                <w:b/>
                <w:bCs/>
                <w:color w:val="000000"/>
                <w:sz w:val="20"/>
                <w:szCs w:val="20"/>
              </w:rPr>
              <w:t xml:space="preserve">Kreiranje promotivnog materijala </w:t>
            </w:r>
          </w:p>
        </w:tc>
        <w:tc>
          <w:tcPr>
            <w:tcW w:w="2126" w:type="dxa"/>
            <w:tcBorders>
              <w:top w:val="nil"/>
              <w:left w:val="nil"/>
              <w:bottom w:val="single" w:color="auto" w:sz="4" w:space="0"/>
              <w:right w:val="single" w:color="auto" w:sz="4" w:space="0"/>
            </w:tcBorders>
            <w:shd w:val="clear" w:color="auto" w:fill="auto"/>
            <w:noWrap/>
            <w:vAlign w:val="center"/>
          </w:tcPr>
          <w:p w14:paraId="7AE988E8">
            <w:pPr>
              <w:jc w:val="right"/>
              <w:rPr>
                <w:rFonts w:eastAsia="Times New Roman" w:cs="Calibri"/>
                <w:b/>
                <w:color w:val="000000"/>
                <w:sz w:val="20"/>
                <w:szCs w:val="20"/>
              </w:rPr>
            </w:pPr>
            <w:r>
              <w:rPr>
                <w:rFonts w:hint="default" w:eastAsia="Times New Roman" w:cs="Calibri"/>
                <w:b/>
                <w:color w:val="000000"/>
                <w:sz w:val="20"/>
                <w:szCs w:val="20"/>
                <w:lang w:val="hr-HR"/>
              </w:rPr>
              <w:t>1.000,00</w:t>
            </w:r>
          </w:p>
        </w:tc>
        <w:tc>
          <w:tcPr>
            <w:tcW w:w="2013" w:type="dxa"/>
            <w:tcBorders>
              <w:top w:val="nil"/>
              <w:left w:val="nil"/>
              <w:bottom w:val="single" w:color="auto" w:sz="4" w:space="0"/>
              <w:right w:val="single" w:color="auto" w:sz="4" w:space="0"/>
            </w:tcBorders>
            <w:shd w:val="clear" w:color="auto" w:fill="auto"/>
            <w:vAlign w:val="center"/>
          </w:tcPr>
          <w:p w14:paraId="495B97BE">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auto"/>
            <w:noWrap/>
            <w:vAlign w:val="center"/>
          </w:tcPr>
          <w:p w14:paraId="241CA737">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w:t>
            </w:r>
          </w:p>
        </w:tc>
        <w:tc>
          <w:tcPr>
            <w:tcW w:w="708" w:type="dxa"/>
            <w:gridSpan w:val="2"/>
            <w:tcBorders>
              <w:top w:val="nil"/>
              <w:left w:val="nil"/>
              <w:bottom w:val="single" w:color="auto" w:sz="4" w:space="0"/>
              <w:right w:val="single" w:color="auto" w:sz="4" w:space="0"/>
            </w:tcBorders>
            <w:shd w:val="clear" w:color="auto" w:fill="auto"/>
            <w:vAlign w:val="center"/>
          </w:tcPr>
          <w:p w14:paraId="206DA443">
            <w:pPr>
              <w:jc w:val="right"/>
              <w:rPr>
                <w:rFonts w:hint="default" w:eastAsia="Times New Roman" w:cs="Calibri"/>
                <w:b/>
                <w:color w:val="000000"/>
                <w:sz w:val="20"/>
                <w:szCs w:val="20"/>
                <w:lang w:val="hr-HR"/>
              </w:rPr>
            </w:pPr>
          </w:p>
        </w:tc>
      </w:tr>
      <w:tr w14:paraId="7A2D4EC9">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noWrap/>
            <w:vAlign w:val="center"/>
          </w:tcPr>
          <w:p w14:paraId="3337069B">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2E43918A">
            <w:pPr>
              <w:rPr>
                <w:rFonts w:eastAsia="Times New Roman" w:cs="Calibri"/>
                <w:b/>
                <w:bCs/>
                <w:color w:val="000000"/>
                <w:sz w:val="20"/>
                <w:szCs w:val="20"/>
              </w:rPr>
            </w:pPr>
            <w:r>
              <w:rPr>
                <w:rFonts w:eastAsia="Times New Roman" w:cs="Calibri"/>
                <w:b/>
                <w:bCs/>
                <w:color w:val="000000"/>
                <w:sz w:val="20"/>
                <w:szCs w:val="20"/>
              </w:rPr>
              <w:t>3.2.</w:t>
            </w:r>
          </w:p>
        </w:tc>
        <w:tc>
          <w:tcPr>
            <w:tcW w:w="2835" w:type="dxa"/>
            <w:tcBorders>
              <w:top w:val="nil"/>
              <w:left w:val="nil"/>
              <w:bottom w:val="single" w:color="auto" w:sz="4" w:space="0"/>
              <w:right w:val="single" w:color="auto" w:sz="4" w:space="0"/>
            </w:tcBorders>
            <w:shd w:val="clear" w:color="auto" w:fill="auto"/>
            <w:vAlign w:val="center"/>
          </w:tcPr>
          <w:p w14:paraId="2F02AB65">
            <w:pPr>
              <w:rPr>
                <w:rFonts w:eastAsia="Times New Roman" w:cs="Calibri"/>
                <w:b/>
                <w:bCs/>
                <w:color w:val="000000"/>
                <w:sz w:val="20"/>
                <w:szCs w:val="20"/>
              </w:rPr>
            </w:pPr>
            <w:r>
              <w:rPr>
                <w:rFonts w:eastAsia="Times New Roman" w:cs="Calibri"/>
                <w:b/>
                <w:bCs/>
                <w:color w:val="000000"/>
                <w:sz w:val="20"/>
                <w:szCs w:val="20"/>
              </w:rPr>
              <w:t>Suveniri i promo materijali</w:t>
            </w:r>
          </w:p>
        </w:tc>
        <w:tc>
          <w:tcPr>
            <w:tcW w:w="2126" w:type="dxa"/>
            <w:tcBorders>
              <w:top w:val="nil"/>
              <w:left w:val="nil"/>
              <w:bottom w:val="single" w:color="auto" w:sz="4" w:space="0"/>
              <w:right w:val="single" w:color="auto" w:sz="4" w:space="0"/>
            </w:tcBorders>
            <w:shd w:val="clear" w:color="auto" w:fill="auto"/>
            <w:noWrap/>
            <w:vAlign w:val="center"/>
          </w:tcPr>
          <w:p w14:paraId="16AE7D54">
            <w:pPr>
              <w:jc w:val="right"/>
              <w:rPr>
                <w:rFonts w:eastAsia="Times New Roman" w:cs="Calibri"/>
                <w:b/>
                <w:color w:val="000000"/>
                <w:sz w:val="20"/>
                <w:szCs w:val="20"/>
              </w:rPr>
            </w:pPr>
            <w:r>
              <w:rPr>
                <w:rFonts w:hint="default" w:eastAsia="Times New Roman" w:cs="Calibri"/>
                <w:b/>
                <w:color w:val="000000"/>
                <w:sz w:val="20"/>
                <w:szCs w:val="20"/>
                <w:lang w:val="hr-HR"/>
              </w:rPr>
              <w:t>2.000,00</w:t>
            </w:r>
          </w:p>
        </w:tc>
        <w:tc>
          <w:tcPr>
            <w:tcW w:w="2013" w:type="dxa"/>
            <w:tcBorders>
              <w:top w:val="nil"/>
              <w:left w:val="nil"/>
              <w:bottom w:val="single" w:color="auto" w:sz="4" w:space="0"/>
              <w:right w:val="single" w:color="auto" w:sz="4" w:space="0"/>
            </w:tcBorders>
            <w:shd w:val="clear" w:color="auto" w:fill="auto"/>
            <w:vAlign w:val="center"/>
          </w:tcPr>
          <w:p w14:paraId="39F30CD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1.000,00</w:t>
            </w:r>
          </w:p>
        </w:tc>
        <w:tc>
          <w:tcPr>
            <w:tcW w:w="964" w:type="dxa"/>
            <w:tcBorders>
              <w:top w:val="nil"/>
              <w:left w:val="nil"/>
              <w:bottom w:val="single" w:color="auto" w:sz="4" w:space="0"/>
              <w:right w:val="single" w:color="auto" w:sz="4" w:space="0"/>
            </w:tcBorders>
            <w:shd w:val="clear" w:color="auto" w:fill="auto"/>
            <w:noWrap/>
            <w:vAlign w:val="center"/>
          </w:tcPr>
          <w:p w14:paraId="68EB915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w:t>
            </w:r>
          </w:p>
        </w:tc>
        <w:tc>
          <w:tcPr>
            <w:tcW w:w="708" w:type="dxa"/>
            <w:gridSpan w:val="2"/>
            <w:tcBorders>
              <w:top w:val="nil"/>
              <w:left w:val="nil"/>
              <w:bottom w:val="single" w:color="auto" w:sz="4" w:space="0"/>
              <w:right w:val="single" w:color="auto" w:sz="4" w:space="0"/>
            </w:tcBorders>
            <w:shd w:val="clear" w:color="auto" w:fill="auto"/>
            <w:vAlign w:val="center"/>
          </w:tcPr>
          <w:p w14:paraId="474041B7">
            <w:pPr>
              <w:jc w:val="right"/>
              <w:rPr>
                <w:rFonts w:hint="default" w:eastAsia="Times New Roman" w:cs="Calibri"/>
                <w:b/>
                <w:color w:val="000000"/>
                <w:sz w:val="20"/>
                <w:szCs w:val="20"/>
                <w:lang w:val="hr-HR"/>
              </w:rPr>
            </w:pPr>
          </w:p>
        </w:tc>
      </w:tr>
      <w:tr w14:paraId="05611966">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noWrap/>
            <w:vAlign w:val="center"/>
          </w:tcPr>
          <w:p w14:paraId="4DBFE415">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0C37831B">
            <w:pPr>
              <w:rPr>
                <w:rFonts w:eastAsia="Times New Roman" w:cs="Calibri"/>
                <w:b/>
                <w:bCs/>
                <w:color w:val="000000"/>
                <w:sz w:val="20"/>
                <w:szCs w:val="20"/>
              </w:rPr>
            </w:pPr>
            <w:r>
              <w:rPr>
                <w:rFonts w:eastAsia="Times New Roman" w:cs="Calibri"/>
                <w:b/>
                <w:bCs/>
                <w:color w:val="000000"/>
                <w:sz w:val="20"/>
                <w:szCs w:val="20"/>
              </w:rPr>
              <w:t>3.3.</w:t>
            </w:r>
          </w:p>
        </w:tc>
        <w:tc>
          <w:tcPr>
            <w:tcW w:w="2835" w:type="dxa"/>
            <w:tcBorders>
              <w:top w:val="nil"/>
              <w:left w:val="nil"/>
              <w:bottom w:val="single" w:color="auto" w:sz="4" w:space="0"/>
              <w:right w:val="single" w:color="auto" w:sz="4" w:space="0"/>
            </w:tcBorders>
            <w:shd w:val="clear" w:color="auto" w:fill="auto"/>
            <w:vAlign w:val="center"/>
          </w:tcPr>
          <w:p w14:paraId="68DFF712">
            <w:pPr>
              <w:rPr>
                <w:rFonts w:hint="default" w:eastAsia="Times New Roman" w:cs="Calibri"/>
                <w:b/>
                <w:bCs/>
                <w:color w:val="000000"/>
                <w:sz w:val="20"/>
                <w:szCs w:val="20"/>
                <w:lang w:val="hr-HR"/>
              </w:rPr>
            </w:pPr>
            <w:r>
              <w:rPr>
                <w:rFonts w:eastAsia="Times New Roman" w:cs="Calibri"/>
                <w:b/>
                <w:bCs/>
                <w:color w:val="000000"/>
                <w:sz w:val="20"/>
                <w:szCs w:val="20"/>
              </w:rPr>
              <w:t>Upravljanje internetskim stranicama</w:t>
            </w:r>
            <w:r>
              <w:rPr>
                <w:rFonts w:hint="default" w:eastAsia="Times New Roman" w:cs="Calibri"/>
                <w:b/>
                <w:bCs/>
                <w:color w:val="000000"/>
                <w:sz w:val="20"/>
                <w:szCs w:val="20"/>
                <w:lang w:val="hr-HR"/>
              </w:rPr>
              <w:t xml:space="preserve"> i online oglašavanje</w:t>
            </w:r>
          </w:p>
        </w:tc>
        <w:tc>
          <w:tcPr>
            <w:tcW w:w="2126" w:type="dxa"/>
            <w:tcBorders>
              <w:top w:val="nil"/>
              <w:left w:val="nil"/>
              <w:bottom w:val="single" w:color="auto" w:sz="4" w:space="0"/>
              <w:right w:val="single" w:color="auto" w:sz="4" w:space="0"/>
            </w:tcBorders>
            <w:shd w:val="clear" w:color="auto" w:fill="auto"/>
            <w:noWrap/>
            <w:vAlign w:val="center"/>
          </w:tcPr>
          <w:p w14:paraId="546DEAA8">
            <w:pPr>
              <w:jc w:val="right"/>
              <w:rPr>
                <w:rFonts w:eastAsia="Times New Roman" w:cs="Calibri"/>
                <w:b/>
                <w:color w:val="000000"/>
                <w:sz w:val="20"/>
                <w:szCs w:val="20"/>
              </w:rPr>
            </w:pPr>
            <w:r>
              <w:rPr>
                <w:rFonts w:eastAsia="Times New Roman" w:cs="Calibri"/>
                <w:b/>
                <w:color w:val="000000"/>
                <w:sz w:val="20"/>
                <w:szCs w:val="20"/>
              </w:rPr>
              <w:t> </w:t>
            </w:r>
            <w:r>
              <w:rPr>
                <w:rFonts w:hint="default" w:eastAsia="Times New Roman" w:cs="Calibri"/>
                <w:b/>
                <w:color w:val="000000"/>
                <w:sz w:val="20"/>
                <w:szCs w:val="20"/>
                <w:lang w:val="hr-HR"/>
              </w:rPr>
              <w:t>3.000,00</w:t>
            </w:r>
          </w:p>
        </w:tc>
        <w:tc>
          <w:tcPr>
            <w:tcW w:w="2013" w:type="dxa"/>
            <w:tcBorders>
              <w:top w:val="nil"/>
              <w:left w:val="nil"/>
              <w:bottom w:val="single" w:color="auto" w:sz="4" w:space="0"/>
              <w:right w:val="single" w:color="auto" w:sz="4" w:space="0"/>
            </w:tcBorders>
            <w:shd w:val="clear" w:color="auto" w:fill="auto"/>
            <w:vAlign w:val="center"/>
          </w:tcPr>
          <w:p w14:paraId="4167CCC4">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auto"/>
            <w:noWrap/>
            <w:vAlign w:val="center"/>
          </w:tcPr>
          <w:p w14:paraId="44E941C0">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c>
          <w:tcPr>
            <w:tcW w:w="708" w:type="dxa"/>
            <w:gridSpan w:val="2"/>
            <w:tcBorders>
              <w:top w:val="nil"/>
              <w:left w:val="nil"/>
              <w:bottom w:val="single" w:color="auto" w:sz="4" w:space="0"/>
              <w:right w:val="single" w:color="auto" w:sz="4" w:space="0"/>
            </w:tcBorders>
            <w:shd w:val="clear" w:color="auto" w:fill="auto"/>
            <w:vAlign w:val="center"/>
          </w:tcPr>
          <w:p w14:paraId="2CC9DDCC">
            <w:pPr>
              <w:jc w:val="right"/>
              <w:rPr>
                <w:rFonts w:hint="default" w:eastAsia="Times New Roman" w:cs="Calibri"/>
                <w:b/>
                <w:color w:val="000000"/>
                <w:sz w:val="20"/>
                <w:szCs w:val="20"/>
                <w:lang w:val="hr-HR"/>
              </w:rPr>
            </w:pPr>
          </w:p>
        </w:tc>
      </w:tr>
      <w:tr w14:paraId="2D0BA2A4">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noWrap/>
            <w:vAlign w:val="center"/>
          </w:tcPr>
          <w:p w14:paraId="3DBB8D4E">
            <w:pPr>
              <w:rPr>
                <w:rFonts w:eastAsia="Times New Roman" w:cs="Calibri"/>
                <w:b/>
                <w:color w:val="000000"/>
                <w:sz w:val="20"/>
                <w:szCs w:val="20"/>
              </w:rPr>
            </w:pPr>
            <w:r>
              <w:rPr>
                <w:rFonts w:eastAsia="Times New Roman" w:cs="Calibri"/>
                <w:b/>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66F3FBA2">
            <w:pPr>
              <w:rPr>
                <w:rFonts w:eastAsia="Times New Roman" w:cs="Calibri"/>
                <w:b/>
                <w:bCs/>
                <w:color w:val="000000"/>
                <w:sz w:val="20"/>
                <w:szCs w:val="20"/>
              </w:rPr>
            </w:pPr>
            <w:r>
              <w:rPr>
                <w:rFonts w:eastAsia="Times New Roman" w:cs="Calibri"/>
                <w:b/>
                <w:bCs/>
                <w:color w:val="000000"/>
                <w:sz w:val="20"/>
                <w:szCs w:val="20"/>
              </w:rPr>
              <w:t>3.4.</w:t>
            </w:r>
          </w:p>
        </w:tc>
        <w:tc>
          <w:tcPr>
            <w:tcW w:w="2835" w:type="dxa"/>
            <w:tcBorders>
              <w:top w:val="nil"/>
              <w:left w:val="nil"/>
              <w:bottom w:val="single" w:color="auto" w:sz="4" w:space="0"/>
              <w:right w:val="single" w:color="auto" w:sz="4" w:space="0"/>
            </w:tcBorders>
            <w:shd w:val="clear" w:color="auto" w:fill="auto"/>
            <w:vAlign w:val="center"/>
          </w:tcPr>
          <w:p w14:paraId="24441144">
            <w:pPr>
              <w:rPr>
                <w:rFonts w:eastAsia="Times New Roman" w:cs="Calibri"/>
                <w:b/>
                <w:bCs/>
                <w:color w:val="000000"/>
                <w:sz w:val="20"/>
                <w:szCs w:val="20"/>
              </w:rPr>
            </w:pPr>
            <w:r>
              <w:rPr>
                <w:rFonts w:eastAsia="Times New Roman" w:cs="Calibri"/>
                <w:b/>
                <w:bCs/>
                <w:color w:val="000000"/>
                <w:sz w:val="20"/>
                <w:szCs w:val="20"/>
              </w:rPr>
              <w:t>Upravljanje društvenim mrežama</w:t>
            </w:r>
          </w:p>
        </w:tc>
        <w:tc>
          <w:tcPr>
            <w:tcW w:w="2126" w:type="dxa"/>
            <w:tcBorders>
              <w:top w:val="nil"/>
              <w:left w:val="nil"/>
              <w:bottom w:val="single" w:color="auto" w:sz="4" w:space="0"/>
              <w:right w:val="single" w:color="auto" w:sz="4" w:space="0"/>
            </w:tcBorders>
            <w:shd w:val="clear" w:color="auto" w:fill="auto"/>
            <w:noWrap/>
            <w:vAlign w:val="center"/>
          </w:tcPr>
          <w:p w14:paraId="0B222017">
            <w:pPr>
              <w:jc w:val="right"/>
              <w:rPr>
                <w:rFonts w:eastAsia="Times New Roman" w:cs="Calibri"/>
                <w:b/>
                <w:color w:val="000000"/>
                <w:sz w:val="20"/>
                <w:szCs w:val="20"/>
              </w:rPr>
            </w:pPr>
            <w:r>
              <w:rPr>
                <w:rFonts w:hint="default" w:eastAsia="Times New Roman" w:cs="Calibri"/>
                <w:b/>
                <w:color w:val="000000"/>
                <w:sz w:val="20"/>
                <w:szCs w:val="20"/>
                <w:lang w:val="hr-HR"/>
              </w:rPr>
              <w:t>2.000,00</w:t>
            </w:r>
          </w:p>
        </w:tc>
        <w:tc>
          <w:tcPr>
            <w:tcW w:w="2013" w:type="dxa"/>
            <w:tcBorders>
              <w:top w:val="nil"/>
              <w:left w:val="nil"/>
              <w:bottom w:val="single" w:color="auto" w:sz="4" w:space="0"/>
              <w:right w:val="single" w:color="auto" w:sz="4" w:space="0"/>
            </w:tcBorders>
            <w:shd w:val="clear" w:color="auto" w:fill="auto"/>
            <w:vAlign w:val="center"/>
          </w:tcPr>
          <w:p w14:paraId="42DE9C2A">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1.000,00</w:t>
            </w:r>
          </w:p>
        </w:tc>
        <w:tc>
          <w:tcPr>
            <w:tcW w:w="964" w:type="dxa"/>
            <w:tcBorders>
              <w:top w:val="nil"/>
              <w:left w:val="nil"/>
              <w:bottom w:val="single" w:color="auto" w:sz="4" w:space="0"/>
              <w:right w:val="single" w:color="auto" w:sz="4" w:space="0"/>
            </w:tcBorders>
            <w:shd w:val="clear" w:color="auto" w:fill="auto"/>
            <w:noWrap/>
            <w:vAlign w:val="center"/>
          </w:tcPr>
          <w:p w14:paraId="51EA8713">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w:t>
            </w:r>
          </w:p>
        </w:tc>
        <w:tc>
          <w:tcPr>
            <w:tcW w:w="708" w:type="dxa"/>
            <w:gridSpan w:val="2"/>
            <w:tcBorders>
              <w:top w:val="nil"/>
              <w:left w:val="nil"/>
              <w:bottom w:val="single" w:color="auto" w:sz="4" w:space="0"/>
              <w:right w:val="single" w:color="auto" w:sz="4" w:space="0"/>
            </w:tcBorders>
            <w:shd w:val="clear" w:color="auto" w:fill="auto"/>
            <w:vAlign w:val="center"/>
          </w:tcPr>
          <w:p w14:paraId="2305C41D">
            <w:pPr>
              <w:jc w:val="right"/>
              <w:rPr>
                <w:rFonts w:hint="default" w:eastAsia="Times New Roman" w:cs="Calibri"/>
                <w:b/>
                <w:color w:val="000000"/>
                <w:sz w:val="20"/>
                <w:szCs w:val="20"/>
                <w:lang w:val="hr-HR"/>
              </w:rPr>
            </w:pPr>
          </w:p>
        </w:tc>
      </w:tr>
      <w:tr w14:paraId="178DF6C1">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FFFFFF" w:themeFill="background1"/>
            <w:vAlign w:val="center"/>
          </w:tcPr>
          <w:p w14:paraId="31CE0A84">
            <w:pPr>
              <w:rPr>
                <w:rFonts w:eastAsia="Times New Roman" w:cs="Calibri"/>
                <w:b/>
                <w:bCs/>
                <w:color w:val="000000"/>
                <w:sz w:val="20"/>
                <w:szCs w:val="20"/>
              </w:rPr>
            </w:pPr>
          </w:p>
        </w:tc>
        <w:tc>
          <w:tcPr>
            <w:tcW w:w="709" w:type="dxa"/>
            <w:tcBorders>
              <w:top w:val="nil"/>
              <w:left w:val="nil"/>
              <w:bottom w:val="single" w:color="auto" w:sz="4" w:space="0"/>
              <w:right w:val="single" w:color="auto" w:sz="4" w:space="0"/>
            </w:tcBorders>
            <w:shd w:val="clear" w:color="auto" w:fill="FFFFFF" w:themeFill="background1"/>
            <w:vAlign w:val="center"/>
          </w:tcPr>
          <w:p w14:paraId="30233246">
            <w:pPr>
              <w:rPr>
                <w:rFonts w:eastAsia="Times New Roman" w:cs="Calibri"/>
                <w:b/>
                <w:bCs/>
                <w:color w:val="000000"/>
                <w:sz w:val="20"/>
                <w:szCs w:val="20"/>
              </w:rPr>
            </w:pPr>
            <w:r>
              <w:rPr>
                <w:rFonts w:eastAsia="Times New Roman" w:cs="Calibri"/>
                <w:b/>
                <w:bCs/>
                <w:color w:val="000000"/>
                <w:sz w:val="20"/>
                <w:szCs w:val="20"/>
              </w:rPr>
              <w:t>3.5.</w:t>
            </w:r>
          </w:p>
        </w:tc>
        <w:tc>
          <w:tcPr>
            <w:tcW w:w="2835" w:type="dxa"/>
            <w:tcBorders>
              <w:top w:val="nil"/>
              <w:left w:val="nil"/>
              <w:bottom w:val="single" w:color="auto" w:sz="4" w:space="0"/>
              <w:right w:val="single" w:color="auto" w:sz="4" w:space="0"/>
            </w:tcBorders>
            <w:shd w:val="clear" w:color="auto" w:fill="FFFFFF" w:themeFill="background1"/>
            <w:vAlign w:val="center"/>
          </w:tcPr>
          <w:p w14:paraId="4FFA7A04">
            <w:pPr>
              <w:rPr>
                <w:rFonts w:eastAsia="Times New Roman" w:cs="Calibri"/>
                <w:b/>
                <w:bCs/>
                <w:color w:val="000000"/>
                <w:sz w:val="20"/>
                <w:szCs w:val="20"/>
              </w:rPr>
            </w:pPr>
            <w:r>
              <w:rPr>
                <w:rFonts w:eastAsia="Times New Roman" w:cs="Calibri"/>
                <w:b/>
                <w:bCs/>
                <w:color w:val="000000"/>
                <w:sz w:val="20"/>
                <w:szCs w:val="20"/>
              </w:rPr>
              <w:t>Turistička signalizacija</w:t>
            </w:r>
          </w:p>
        </w:tc>
        <w:tc>
          <w:tcPr>
            <w:tcW w:w="2126" w:type="dxa"/>
            <w:tcBorders>
              <w:top w:val="nil"/>
              <w:left w:val="nil"/>
              <w:bottom w:val="single" w:color="auto" w:sz="4" w:space="0"/>
              <w:right w:val="single" w:color="auto" w:sz="4" w:space="0"/>
            </w:tcBorders>
            <w:shd w:val="clear" w:color="auto" w:fill="FFFFFF" w:themeFill="background1"/>
            <w:noWrap/>
            <w:vAlign w:val="center"/>
          </w:tcPr>
          <w:p w14:paraId="7F5F9E78">
            <w:pPr>
              <w:jc w:val="right"/>
              <w:rPr>
                <w:rFonts w:eastAsia="Times New Roman" w:cs="Calibri"/>
                <w:b/>
                <w:color w:val="000000"/>
                <w:sz w:val="20"/>
                <w:szCs w:val="20"/>
              </w:rPr>
            </w:pPr>
            <w:r>
              <w:rPr>
                <w:rFonts w:hint="default" w:eastAsia="Times New Roman" w:cs="Calibri"/>
                <w:b/>
                <w:color w:val="000000"/>
                <w:sz w:val="20"/>
                <w:szCs w:val="20"/>
                <w:lang w:val="hr-HR"/>
              </w:rPr>
              <w:t>4.000,00</w:t>
            </w:r>
          </w:p>
        </w:tc>
        <w:tc>
          <w:tcPr>
            <w:tcW w:w="2013" w:type="dxa"/>
            <w:tcBorders>
              <w:top w:val="nil"/>
              <w:left w:val="nil"/>
              <w:bottom w:val="single" w:color="auto" w:sz="4" w:space="0"/>
              <w:right w:val="single" w:color="auto" w:sz="4" w:space="0"/>
            </w:tcBorders>
            <w:shd w:val="clear" w:color="auto" w:fill="FFFFFF" w:themeFill="background1"/>
            <w:vAlign w:val="center"/>
          </w:tcPr>
          <w:p w14:paraId="37EBBF83">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auto" w:fill="FFFFFF" w:themeFill="background1"/>
            <w:noWrap/>
            <w:vAlign w:val="center"/>
          </w:tcPr>
          <w:p w14:paraId="265C4FC3">
            <w:pPr>
              <w:jc w:val="center"/>
              <w:rPr>
                <w:rFonts w:hint="default" w:eastAsia="Times New Roman" w:cs="Calibri"/>
                <w:b/>
                <w:color w:val="000000"/>
                <w:sz w:val="20"/>
                <w:szCs w:val="20"/>
                <w:lang w:val="hr-HR"/>
              </w:rPr>
            </w:pPr>
            <w:r>
              <w:rPr>
                <w:rFonts w:hint="default" w:eastAsia="Times New Roman" w:cs="Calibri"/>
                <w:b/>
                <w:color w:val="000000"/>
                <w:sz w:val="20"/>
                <w:szCs w:val="20"/>
                <w:lang w:val="hr-HR"/>
              </w:rPr>
              <w:t xml:space="preserve">           75</w:t>
            </w:r>
          </w:p>
        </w:tc>
        <w:tc>
          <w:tcPr>
            <w:tcW w:w="708" w:type="dxa"/>
            <w:gridSpan w:val="2"/>
            <w:tcBorders>
              <w:top w:val="nil"/>
              <w:left w:val="nil"/>
              <w:bottom w:val="single" w:color="auto" w:sz="4" w:space="0"/>
              <w:right w:val="single" w:color="auto" w:sz="4" w:space="0"/>
            </w:tcBorders>
            <w:shd w:val="clear" w:color="auto" w:fill="FFFFFF" w:themeFill="background1"/>
            <w:vAlign w:val="center"/>
          </w:tcPr>
          <w:p w14:paraId="6CD4F991">
            <w:pPr>
              <w:jc w:val="right"/>
              <w:rPr>
                <w:rFonts w:hint="default" w:eastAsia="Times New Roman" w:cs="Calibri"/>
                <w:b/>
                <w:color w:val="000000"/>
                <w:sz w:val="20"/>
                <w:szCs w:val="20"/>
                <w:lang w:val="hr-HR"/>
              </w:rPr>
            </w:pPr>
          </w:p>
        </w:tc>
      </w:tr>
      <w:tr w14:paraId="6517A8D9">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45123A3B">
            <w:pPr>
              <w:rPr>
                <w:rFonts w:eastAsia="Times New Roman" w:cs="Calibri"/>
                <w:b/>
                <w:bCs/>
                <w:color w:val="000000" w:themeColor="text1"/>
                <w:sz w:val="20"/>
                <w:szCs w:val="20"/>
                <w14:textFill>
                  <w14:solidFill>
                    <w14:schemeClr w14:val="tx1"/>
                  </w14:solidFill>
                </w14:textFill>
              </w:rPr>
            </w:pPr>
          </w:p>
        </w:tc>
        <w:tc>
          <w:tcPr>
            <w:tcW w:w="709" w:type="dxa"/>
            <w:tcBorders>
              <w:top w:val="nil"/>
              <w:left w:val="nil"/>
              <w:bottom w:val="single" w:color="auto" w:sz="4" w:space="0"/>
              <w:right w:val="single" w:color="auto" w:sz="4" w:space="0"/>
            </w:tcBorders>
            <w:shd w:val="clear" w:color="auto" w:fill="auto"/>
            <w:vAlign w:val="center"/>
          </w:tcPr>
          <w:p w14:paraId="5E983A0E">
            <w:pPr>
              <w:rPr>
                <w:rFonts w:eastAsia="Times New Roman" w:cs="Calibri"/>
                <w:b/>
                <w:bCs/>
                <w:color w:val="000000" w:themeColor="text1"/>
                <w:sz w:val="20"/>
                <w:szCs w:val="20"/>
                <w14:textFill>
                  <w14:solidFill>
                    <w14:schemeClr w14:val="tx1"/>
                  </w14:solidFill>
                </w14:textFill>
              </w:rPr>
            </w:pPr>
            <w:r>
              <w:rPr>
                <w:rFonts w:eastAsia="Times New Roman" w:cs="Calibri"/>
                <w:b/>
                <w:bCs/>
                <w:color w:val="000000" w:themeColor="text1"/>
                <w:sz w:val="20"/>
                <w:szCs w:val="20"/>
                <w14:textFill>
                  <w14:solidFill>
                    <w14:schemeClr w14:val="tx1"/>
                  </w14:solidFill>
                </w14:textFill>
              </w:rPr>
              <w:t>3.6.</w:t>
            </w:r>
          </w:p>
        </w:tc>
        <w:tc>
          <w:tcPr>
            <w:tcW w:w="2835" w:type="dxa"/>
            <w:tcBorders>
              <w:top w:val="nil"/>
              <w:left w:val="nil"/>
              <w:bottom w:val="single" w:color="auto" w:sz="4" w:space="0"/>
              <w:right w:val="single" w:color="auto" w:sz="4" w:space="0"/>
            </w:tcBorders>
            <w:shd w:val="clear" w:color="auto" w:fill="auto"/>
            <w:vAlign w:val="center"/>
          </w:tcPr>
          <w:p w14:paraId="74FB386A">
            <w:pPr>
              <w:rPr>
                <w:rFonts w:eastAsia="Times New Roman" w:cs="Calibri"/>
                <w:b/>
                <w:bCs/>
                <w:color w:val="000000" w:themeColor="text1"/>
                <w:sz w:val="20"/>
                <w:szCs w:val="20"/>
                <w14:textFill>
                  <w14:solidFill>
                    <w14:schemeClr w14:val="tx1"/>
                  </w14:solidFill>
                </w14:textFill>
              </w:rPr>
            </w:pPr>
            <w:r>
              <w:rPr>
                <w:rFonts w:eastAsia="Times New Roman" w:cs="Calibri"/>
                <w:b/>
                <w:bCs/>
                <w:color w:val="000000" w:themeColor="text1"/>
                <w:sz w:val="20"/>
                <w:szCs w:val="20"/>
                <w14:textFill>
                  <w14:solidFill>
                    <w14:schemeClr w14:val="tx1"/>
                  </w14:solidFill>
                </w14:textFill>
              </w:rPr>
              <w:t>Udruženo oglašavanje</w:t>
            </w:r>
          </w:p>
        </w:tc>
        <w:tc>
          <w:tcPr>
            <w:tcW w:w="2126" w:type="dxa"/>
            <w:tcBorders>
              <w:top w:val="nil"/>
              <w:left w:val="nil"/>
              <w:bottom w:val="single" w:color="auto" w:sz="4" w:space="0"/>
              <w:right w:val="single" w:color="auto" w:sz="4" w:space="0"/>
            </w:tcBorders>
            <w:shd w:val="clear" w:color="auto" w:fill="auto"/>
            <w:noWrap/>
            <w:vAlign w:val="center"/>
          </w:tcPr>
          <w:p w14:paraId="2509278C">
            <w:pPr>
              <w:jc w:val="right"/>
              <w:rPr>
                <w:rFonts w:eastAsia="Times New Roman" w:cs="Calibri"/>
                <w:b/>
                <w:color w:val="000000" w:themeColor="text1"/>
                <w:sz w:val="20"/>
                <w:szCs w:val="20"/>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2.000,00</w:t>
            </w:r>
          </w:p>
        </w:tc>
        <w:tc>
          <w:tcPr>
            <w:tcW w:w="2013" w:type="dxa"/>
            <w:tcBorders>
              <w:top w:val="nil"/>
              <w:left w:val="nil"/>
              <w:bottom w:val="single" w:color="auto" w:sz="4" w:space="0"/>
              <w:right w:val="single" w:color="auto" w:sz="4" w:space="0"/>
            </w:tcBorders>
            <w:shd w:val="clear" w:color="auto" w:fill="auto"/>
            <w:vAlign w:val="center"/>
          </w:tcPr>
          <w:p w14:paraId="63ABCC07">
            <w:pPr>
              <w:jc w:val="right"/>
              <w:rPr>
                <w:rFonts w:hint="default" w:eastAsia="Times New Roman" w:cs="Calibri"/>
                <w:b/>
                <w:color w:val="000000" w:themeColor="text1"/>
                <w:sz w:val="20"/>
                <w:szCs w:val="20"/>
                <w:lang w:val="hr-HR"/>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2.000,00</w:t>
            </w:r>
          </w:p>
        </w:tc>
        <w:tc>
          <w:tcPr>
            <w:tcW w:w="964" w:type="dxa"/>
            <w:tcBorders>
              <w:top w:val="nil"/>
              <w:left w:val="nil"/>
              <w:bottom w:val="single" w:color="auto" w:sz="4" w:space="0"/>
              <w:right w:val="single" w:color="auto" w:sz="4" w:space="0"/>
            </w:tcBorders>
            <w:shd w:val="clear" w:color="auto" w:fill="auto"/>
            <w:noWrap/>
            <w:vAlign w:val="center"/>
          </w:tcPr>
          <w:p w14:paraId="48460E70">
            <w:pPr>
              <w:jc w:val="right"/>
              <w:rPr>
                <w:rFonts w:hint="default" w:eastAsia="Times New Roman" w:cs="Calibri"/>
                <w:b/>
                <w:color w:val="000000" w:themeColor="text1"/>
                <w:sz w:val="20"/>
                <w:szCs w:val="20"/>
                <w:lang w:val="hr-HR"/>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100</w:t>
            </w:r>
          </w:p>
        </w:tc>
        <w:tc>
          <w:tcPr>
            <w:tcW w:w="708" w:type="dxa"/>
            <w:gridSpan w:val="2"/>
            <w:tcBorders>
              <w:top w:val="nil"/>
              <w:left w:val="nil"/>
              <w:bottom w:val="single" w:color="auto" w:sz="4" w:space="0"/>
              <w:right w:val="single" w:color="auto" w:sz="4" w:space="0"/>
            </w:tcBorders>
            <w:shd w:val="clear" w:color="auto" w:fill="auto"/>
            <w:vAlign w:val="center"/>
          </w:tcPr>
          <w:p w14:paraId="76EE5626">
            <w:pPr>
              <w:jc w:val="right"/>
              <w:rPr>
                <w:rFonts w:hint="default" w:eastAsia="Times New Roman" w:cs="Calibri"/>
                <w:b/>
                <w:color w:val="000000" w:themeColor="text1"/>
                <w:sz w:val="20"/>
                <w:szCs w:val="20"/>
                <w:lang w:val="hr-HR"/>
                <w14:textFill>
                  <w14:solidFill>
                    <w14:schemeClr w14:val="tx1"/>
                  </w14:solidFill>
                </w14:textFill>
              </w:rPr>
            </w:pPr>
          </w:p>
        </w:tc>
      </w:tr>
      <w:tr w14:paraId="7C068103">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66BA11A9">
            <w:pPr>
              <w:rPr>
                <w:rFonts w:eastAsia="Times New Roman" w:cs="Calibri"/>
                <w:b/>
                <w:bCs/>
                <w:color w:val="000000" w:themeColor="text1"/>
                <w:sz w:val="20"/>
                <w:szCs w:val="20"/>
                <w14:textFill>
                  <w14:solidFill>
                    <w14:schemeClr w14:val="tx1"/>
                  </w14:solidFill>
                </w14:textFill>
              </w:rPr>
            </w:pPr>
            <w:r>
              <w:rPr>
                <w:rFonts w:eastAsia="Times New Roman" w:cs="Calibri"/>
                <w:b/>
                <w:bCs/>
                <w:color w:val="000000" w:themeColor="text1"/>
                <w:sz w:val="20"/>
                <w:szCs w:val="20"/>
                <w14:textFill>
                  <w14:solidFill>
                    <w14:schemeClr w14:val="tx1"/>
                  </w14:solidFill>
                </w14:textFill>
              </w:rPr>
              <w:t>4.</w:t>
            </w:r>
          </w:p>
        </w:tc>
        <w:tc>
          <w:tcPr>
            <w:tcW w:w="709" w:type="dxa"/>
            <w:tcBorders>
              <w:top w:val="nil"/>
              <w:left w:val="nil"/>
              <w:bottom w:val="single" w:color="auto" w:sz="4" w:space="0"/>
              <w:right w:val="single" w:color="auto" w:sz="4" w:space="0"/>
            </w:tcBorders>
            <w:shd w:val="clear" w:color="000000" w:fill="DDEBF7"/>
            <w:vAlign w:val="center"/>
          </w:tcPr>
          <w:p w14:paraId="58C175B5">
            <w:pPr>
              <w:rPr>
                <w:rFonts w:eastAsia="Times New Roman" w:cs="Calibri"/>
                <w:b/>
                <w:bCs/>
                <w:color w:val="000000" w:themeColor="text1"/>
                <w:sz w:val="20"/>
                <w:szCs w:val="20"/>
                <w14:textFill>
                  <w14:solidFill>
                    <w14:schemeClr w14:val="tx1"/>
                  </w14:solidFill>
                </w14:textFill>
              </w:rPr>
            </w:pPr>
            <w:r>
              <w:rPr>
                <w:rFonts w:eastAsia="Times New Roman" w:cs="Calibri"/>
                <w:b/>
                <w:bCs/>
                <w:color w:val="000000" w:themeColor="text1"/>
                <w:sz w:val="20"/>
                <w:szCs w:val="20"/>
                <w14:textFill>
                  <w14:solidFill>
                    <w14:schemeClr w14:val="tx1"/>
                  </w14:solidFill>
                </w14:textFill>
              </w:rPr>
              <w:t> </w:t>
            </w:r>
          </w:p>
        </w:tc>
        <w:tc>
          <w:tcPr>
            <w:tcW w:w="2835" w:type="dxa"/>
            <w:tcBorders>
              <w:top w:val="nil"/>
              <w:left w:val="nil"/>
              <w:bottom w:val="single" w:color="auto" w:sz="4" w:space="0"/>
              <w:right w:val="single" w:color="auto" w:sz="4" w:space="0"/>
            </w:tcBorders>
            <w:shd w:val="clear" w:color="000000" w:fill="DDEBF7"/>
            <w:vAlign w:val="center"/>
          </w:tcPr>
          <w:p w14:paraId="3C02A96D">
            <w:pPr>
              <w:rPr>
                <w:rFonts w:eastAsia="Times New Roman" w:cs="Calibri"/>
                <w:b/>
                <w:bCs/>
                <w:color w:val="000000" w:themeColor="text1"/>
                <w:sz w:val="20"/>
                <w:szCs w:val="20"/>
                <w14:textFill>
                  <w14:solidFill>
                    <w14:schemeClr w14:val="tx1"/>
                  </w14:solidFill>
                </w14:textFill>
              </w:rPr>
            </w:pPr>
            <w:r>
              <w:rPr>
                <w:rFonts w:eastAsia="Times New Roman" w:cs="Calibri"/>
                <w:b/>
                <w:bCs/>
                <w:color w:val="000000" w:themeColor="text1"/>
                <w:sz w:val="20"/>
                <w:szCs w:val="20"/>
                <w14:textFill>
                  <w14:solidFill>
                    <w14:schemeClr w14:val="tx1"/>
                  </w14:solidFill>
                </w14:textFill>
              </w:rPr>
              <w:t>DESTINACIJSKI MENADŽMENT</w:t>
            </w:r>
          </w:p>
        </w:tc>
        <w:tc>
          <w:tcPr>
            <w:tcW w:w="2126" w:type="dxa"/>
            <w:tcBorders>
              <w:top w:val="nil"/>
              <w:left w:val="nil"/>
              <w:bottom w:val="single" w:color="auto" w:sz="4" w:space="0"/>
              <w:right w:val="single" w:color="auto" w:sz="4" w:space="0"/>
            </w:tcBorders>
            <w:shd w:val="clear" w:color="000000" w:fill="DDEBF7"/>
            <w:noWrap/>
            <w:vAlign w:val="center"/>
          </w:tcPr>
          <w:p w14:paraId="3A3A77E5">
            <w:pPr>
              <w:jc w:val="right"/>
              <w:rPr>
                <w:rFonts w:eastAsia="Times New Roman" w:cs="Calibri"/>
                <w:b/>
                <w:color w:val="000000" w:themeColor="text1"/>
                <w:sz w:val="20"/>
                <w:szCs w:val="20"/>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12.000,00</w:t>
            </w:r>
          </w:p>
        </w:tc>
        <w:tc>
          <w:tcPr>
            <w:tcW w:w="2013" w:type="dxa"/>
            <w:tcBorders>
              <w:top w:val="nil"/>
              <w:left w:val="nil"/>
              <w:bottom w:val="single" w:color="auto" w:sz="4" w:space="0"/>
              <w:right w:val="single" w:color="auto" w:sz="4" w:space="0"/>
            </w:tcBorders>
            <w:shd w:val="clear" w:color="000000" w:fill="DDEBF7"/>
            <w:vAlign w:val="center"/>
          </w:tcPr>
          <w:p w14:paraId="3E7C44DE">
            <w:pPr>
              <w:jc w:val="right"/>
              <w:rPr>
                <w:rFonts w:hint="default" w:eastAsia="Times New Roman" w:cs="Calibri"/>
                <w:b/>
                <w:color w:val="000000" w:themeColor="text1"/>
                <w:sz w:val="20"/>
                <w:szCs w:val="20"/>
                <w:lang w:val="hr-HR"/>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12.000,00</w:t>
            </w:r>
          </w:p>
        </w:tc>
        <w:tc>
          <w:tcPr>
            <w:tcW w:w="964" w:type="dxa"/>
            <w:tcBorders>
              <w:top w:val="nil"/>
              <w:left w:val="nil"/>
              <w:bottom w:val="single" w:color="auto" w:sz="4" w:space="0"/>
              <w:right w:val="single" w:color="auto" w:sz="4" w:space="0"/>
            </w:tcBorders>
            <w:shd w:val="clear" w:color="000000" w:fill="DDEBF7"/>
            <w:noWrap/>
            <w:vAlign w:val="center"/>
          </w:tcPr>
          <w:p w14:paraId="36C59305">
            <w:pPr>
              <w:jc w:val="right"/>
              <w:rPr>
                <w:rFonts w:hint="default" w:eastAsia="Times New Roman" w:cs="Calibri"/>
                <w:b/>
                <w:color w:val="000000" w:themeColor="text1"/>
                <w:sz w:val="20"/>
                <w:szCs w:val="20"/>
                <w:lang w:val="hr-HR"/>
                <w14:textFill>
                  <w14:solidFill>
                    <w14:schemeClr w14:val="tx1"/>
                  </w14:solidFill>
                </w14:textFill>
              </w:rPr>
            </w:pPr>
            <w:r>
              <w:rPr>
                <w:rFonts w:hint="default" w:eastAsia="Times New Roman" w:cs="Calibri"/>
                <w:b/>
                <w:color w:val="000000" w:themeColor="text1"/>
                <w:sz w:val="20"/>
                <w:szCs w:val="20"/>
                <w:lang w:val="hr-HR"/>
                <w14:textFill>
                  <w14:solidFill>
                    <w14:schemeClr w14:val="tx1"/>
                  </w14:solidFill>
                </w14:textFill>
              </w:rPr>
              <w:t>100</w:t>
            </w:r>
          </w:p>
        </w:tc>
        <w:tc>
          <w:tcPr>
            <w:tcW w:w="708" w:type="dxa"/>
            <w:gridSpan w:val="2"/>
            <w:tcBorders>
              <w:top w:val="nil"/>
              <w:left w:val="nil"/>
              <w:bottom w:val="single" w:color="auto" w:sz="4" w:space="0"/>
              <w:right w:val="single" w:color="auto" w:sz="4" w:space="0"/>
            </w:tcBorders>
            <w:shd w:val="clear" w:color="000000" w:fill="DDEBF7"/>
            <w:vAlign w:val="center"/>
          </w:tcPr>
          <w:p w14:paraId="0D7329A6">
            <w:pPr>
              <w:jc w:val="right"/>
              <w:rPr>
                <w:rFonts w:eastAsia="Times New Roman" w:cs="Calibri"/>
                <w:b/>
                <w:color w:val="000000" w:themeColor="text1"/>
                <w:sz w:val="20"/>
                <w:szCs w:val="20"/>
                <w14:textFill>
                  <w14:solidFill>
                    <w14:schemeClr w14:val="tx1"/>
                  </w14:solidFill>
                </w14:textFill>
              </w:rPr>
            </w:pPr>
            <w:r>
              <w:rPr>
                <w:rFonts w:eastAsia="Times New Roman" w:cs="Calibri"/>
                <w:b/>
                <w:color w:val="000000" w:themeColor="text1"/>
                <w:sz w:val="20"/>
                <w:szCs w:val="20"/>
                <w14:textFill>
                  <w14:solidFill>
                    <w14:schemeClr w14:val="tx1"/>
                  </w14:solidFill>
                </w14:textFill>
              </w:rPr>
              <w:t>100</w:t>
            </w:r>
          </w:p>
        </w:tc>
      </w:tr>
      <w:tr w14:paraId="2229420D">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56F20760">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56D80212">
            <w:pPr>
              <w:rPr>
                <w:rFonts w:eastAsia="Times New Roman" w:cs="Calibri"/>
                <w:b/>
                <w:bCs/>
                <w:color w:val="000000"/>
                <w:sz w:val="20"/>
                <w:szCs w:val="20"/>
              </w:rPr>
            </w:pPr>
            <w:r>
              <w:rPr>
                <w:rFonts w:eastAsia="Times New Roman" w:cs="Calibri"/>
                <w:b/>
                <w:bCs/>
                <w:color w:val="000000"/>
                <w:sz w:val="20"/>
                <w:szCs w:val="20"/>
              </w:rPr>
              <w:t>4.1.</w:t>
            </w:r>
          </w:p>
        </w:tc>
        <w:tc>
          <w:tcPr>
            <w:tcW w:w="2835" w:type="dxa"/>
            <w:tcBorders>
              <w:top w:val="nil"/>
              <w:left w:val="nil"/>
              <w:bottom w:val="single" w:color="auto" w:sz="4" w:space="0"/>
              <w:right w:val="single" w:color="auto" w:sz="4" w:space="0"/>
            </w:tcBorders>
            <w:shd w:val="clear" w:color="auto" w:fill="auto"/>
            <w:vAlign w:val="center"/>
          </w:tcPr>
          <w:p w14:paraId="36707529">
            <w:pPr>
              <w:rPr>
                <w:rFonts w:eastAsia="Times New Roman" w:cs="Calibri"/>
                <w:b/>
                <w:bCs/>
                <w:color w:val="000000"/>
                <w:sz w:val="20"/>
                <w:szCs w:val="20"/>
              </w:rPr>
            </w:pPr>
            <w:r>
              <w:rPr>
                <w:rFonts w:eastAsia="Times New Roman" w:cs="Calibri"/>
                <w:b/>
                <w:bCs/>
                <w:color w:val="000000"/>
                <w:sz w:val="20"/>
                <w:szCs w:val="20"/>
              </w:rPr>
              <w:t>Turistički informacijski sustavi i aplikacije /eVisitor</w:t>
            </w:r>
          </w:p>
        </w:tc>
        <w:tc>
          <w:tcPr>
            <w:tcW w:w="2126" w:type="dxa"/>
            <w:tcBorders>
              <w:top w:val="nil"/>
              <w:left w:val="nil"/>
              <w:bottom w:val="single" w:color="auto" w:sz="4" w:space="0"/>
              <w:right w:val="single" w:color="auto" w:sz="4" w:space="0"/>
            </w:tcBorders>
            <w:shd w:val="clear" w:color="auto" w:fill="auto"/>
            <w:noWrap/>
            <w:vAlign w:val="center"/>
          </w:tcPr>
          <w:p w14:paraId="01ED0705">
            <w:pPr>
              <w:jc w:val="right"/>
              <w:rPr>
                <w:rFonts w:eastAsia="Times New Roman" w:cs="Calibri"/>
                <w:b/>
                <w:color w:val="000000"/>
                <w:sz w:val="20"/>
                <w:szCs w:val="20"/>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auto" w:fill="auto"/>
            <w:vAlign w:val="center"/>
          </w:tcPr>
          <w:p w14:paraId="5A2C47A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auto" w:fill="auto"/>
            <w:noWrap/>
            <w:vAlign w:val="center"/>
          </w:tcPr>
          <w:p w14:paraId="23D9E91B">
            <w:pPr>
              <w:jc w:val="right"/>
              <w:rPr>
                <w:rFonts w:eastAsia="Times New Roman" w:cs="Calibri"/>
                <w:b/>
                <w:color w:val="000000"/>
                <w:sz w:val="20"/>
                <w:szCs w:val="20"/>
              </w:rPr>
            </w:pPr>
            <w:r>
              <w:rPr>
                <w:rFonts w:eastAsia="Times New Roman" w:cs="Calibri"/>
                <w:b/>
                <w:color w:val="000000"/>
                <w:sz w:val="20"/>
                <w:szCs w:val="20"/>
              </w:rPr>
              <w:t>0,00</w:t>
            </w:r>
          </w:p>
        </w:tc>
        <w:tc>
          <w:tcPr>
            <w:tcW w:w="708" w:type="dxa"/>
            <w:gridSpan w:val="2"/>
            <w:tcBorders>
              <w:top w:val="nil"/>
              <w:left w:val="nil"/>
              <w:bottom w:val="single" w:color="auto" w:sz="4" w:space="0"/>
              <w:right w:val="single" w:color="auto" w:sz="4" w:space="0"/>
            </w:tcBorders>
            <w:shd w:val="clear" w:color="auto" w:fill="auto"/>
            <w:vAlign w:val="center"/>
          </w:tcPr>
          <w:p w14:paraId="05198D14">
            <w:pPr>
              <w:jc w:val="right"/>
              <w:rPr>
                <w:rFonts w:eastAsia="Times New Roman" w:cs="Calibri"/>
                <w:b/>
                <w:color w:val="000000"/>
                <w:sz w:val="20"/>
                <w:szCs w:val="20"/>
              </w:rPr>
            </w:pPr>
            <w:r>
              <w:rPr>
                <w:rFonts w:eastAsia="Times New Roman" w:cs="Calibri"/>
                <w:b/>
                <w:color w:val="000000"/>
                <w:sz w:val="20"/>
                <w:szCs w:val="20"/>
              </w:rPr>
              <w:t>0,00</w:t>
            </w:r>
          </w:p>
        </w:tc>
      </w:tr>
      <w:tr w14:paraId="2005A926">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6127E5CD">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288C6511">
            <w:pPr>
              <w:rPr>
                <w:rFonts w:eastAsia="Times New Roman" w:cs="Calibri"/>
                <w:b/>
                <w:bCs/>
                <w:color w:val="000000"/>
                <w:sz w:val="20"/>
                <w:szCs w:val="20"/>
              </w:rPr>
            </w:pPr>
            <w:r>
              <w:rPr>
                <w:rFonts w:eastAsia="Times New Roman" w:cs="Calibri"/>
                <w:b/>
                <w:bCs/>
                <w:color w:val="000000"/>
                <w:sz w:val="20"/>
                <w:szCs w:val="20"/>
              </w:rPr>
              <w:t>4.2.</w:t>
            </w:r>
          </w:p>
        </w:tc>
        <w:tc>
          <w:tcPr>
            <w:tcW w:w="2835" w:type="dxa"/>
            <w:tcBorders>
              <w:top w:val="nil"/>
              <w:left w:val="nil"/>
              <w:bottom w:val="single" w:color="auto" w:sz="4" w:space="0"/>
              <w:right w:val="single" w:color="auto" w:sz="4" w:space="0"/>
            </w:tcBorders>
            <w:shd w:val="clear" w:color="auto" w:fill="auto"/>
            <w:vAlign w:val="center"/>
          </w:tcPr>
          <w:p w14:paraId="4E992BBD">
            <w:pPr>
              <w:rPr>
                <w:rFonts w:eastAsia="Times New Roman" w:cs="Calibri"/>
                <w:b/>
                <w:bCs/>
                <w:color w:val="000000"/>
                <w:sz w:val="20"/>
                <w:szCs w:val="20"/>
              </w:rPr>
            </w:pPr>
            <w:r>
              <w:rPr>
                <w:rFonts w:eastAsia="Times New Roman" w:cs="Calibri"/>
                <w:b/>
                <w:bCs/>
                <w:color w:val="000000"/>
                <w:sz w:val="20"/>
                <w:szCs w:val="20"/>
              </w:rPr>
              <w:t>Sudjelovanje u razvoju sustava poslovne inteligencije</w:t>
            </w:r>
          </w:p>
        </w:tc>
        <w:tc>
          <w:tcPr>
            <w:tcW w:w="2126" w:type="dxa"/>
            <w:tcBorders>
              <w:top w:val="nil"/>
              <w:left w:val="nil"/>
              <w:bottom w:val="single" w:color="auto" w:sz="4" w:space="0"/>
              <w:right w:val="single" w:color="auto" w:sz="4" w:space="0"/>
            </w:tcBorders>
            <w:shd w:val="clear" w:color="auto" w:fill="auto"/>
            <w:noWrap/>
            <w:vAlign w:val="center"/>
          </w:tcPr>
          <w:p w14:paraId="6599FBF6">
            <w:pPr>
              <w:jc w:val="right"/>
              <w:rPr>
                <w:rFonts w:eastAsia="Times New Roman" w:cs="Calibri"/>
                <w:b/>
                <w:color w:val="000000"/>
                <w:sz w:val="20"/>
                <w:szCs w:val="20"/>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auto" w:fill="auto"/>
            <w:vAlign w:val="center"/>
          </w:tcPr>
          <w:p w14:paraId="095A8121">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auto" w:fill="auto"/>
            <w:noWrap/>
            <w:vAlign w:val="center"/>
          </w:tcPr>
          <w:p w14:paraId="022AE30C">
            <w:pPr>
              <w:jc w:val="right"/>
              <w:rPr>
                <w:rFonts w:eastAsia="Times New Roman" w:cs="Calibri"/>
                <w:b/>
                <w:color w:val="000000"/>
                <w:sz w:val="20"/>
                <w:szCs w:val="20"/>
              </w:rPr>
            </w:pPr>
            <w:r>
              <w:rPr>
                <w:rFonts w:eastAsia="Times New Roman" w:cs="Calibri"/>
                <w:b/>
                <w:color w:val="000000"/>
                <w:sz w:val="20"/>
                <w:szCs w:val="20"/>
              </w:rPr>
              <w:t>0,00</w:t>
            </w:r>
          </w:p>
        </w:tc>
        <w:tc>
          <w:tcPr>
            <w:tcW w:w="708" w:type="dxa"/>
            <w:gridSpan w:val="2"/>
            <w:tcBorders>
              <w:top w:val="nil"/>
              <w:left w:val="nil"/>
              <w:bottom w:val="single" w:color="auto" w:sz="4" w:space="0"/>
              <w:right w:val="single" w:color="auto" w:sz="4" w:space="0"/>
            </w:tcBorders>
            <w:shd w:val="clear" w:color="auto" w:fill="auto"/>
            <w:vAlign w:val="center"/>
          </w:tcPr>
          <w:p w14:paraId="0CED08AE">
            <w:pPr>
              <w:jc w:val="right"/>
              <w:rPr>
                <w:rFonts w:eastAsia="Times New Roman" w:cs="Calibri"/>
                <w:b/>
                <w:color w:val="000000"/>
                <w:sz w:val="20"/>
                <w:szCs w:val="20"/>
              </w:rPr>
            </w:pPr>
            <w:r>
              <w:rPr>
                <w:rFonts w:eastAsia="Times New Roman" w:cs="Calibri"/>
                <w:b/>
                <w:color w:val="000000"/>
                <w:sz w:val="20"/>
                <w:szCs w:val="20"/>
              </w:rPr>
              <w:t>0,00</w:t>
            </w:r>
          </w:p>
        </w:tc>
      </w:tr>
      <w:tr w14:paraId="682E1C84">
        <w:tblPrEx>
          <w:tblCellMar>
            <w:top w:w="0" w:type="dxa"/>
            <w:left w:w="108" w:type="dxa"/>
            <w:bottom w:w="0" w:type="dxa"/>
            <w:right w:w="108" w:type="dxa"/>
          </w:tblCellMar>
        </w:tblPrEx>
        <w:trPr>
          <w:trHeight w:val="1026"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0CA1083C">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6644F2A2">
            <w:pPr>
              <w:rPr>
                <w:rFonts w:eastAsia="Times New Roman" w:cs="Calibri"/>
                <w:b/>
                <w:bCs/>
                <w:color w:val="000000"/>
                <w:sz w:val="20"/>
                <w:szCs w:val="20"/>
              </w:rPr>
            </w:pPr>
            <w:r>
              <w:rPr>
                <w:rFonts w:eastAsia="Times New Roman" w:cs="Calibri"/>
                <w:b/>
                <w:bCs/>
                <w:color w:val="000000"/>
                <w:sz w:val="20"/>
                <w:szCs w:val="20"/>
              </w:rPr>
              <w:t>4.3.</w:t>
            </w:r>
          </w:p>
        </w:tc>
        <w:tc>
          <w:tcPr>
            <w:tcW w:w="2835" w:type="dxa"/>
            <w:tcBorders>
              <w:top w:val="nil"/>
              <w:left w:val="nil"/>
              <w:bottom w:val="single" w:color="auto" w:sz="4" w:space="0"/>
              <w:right w:val="single" w:color="auto" w:sz="4" w:space="0"/>
            </w:tcBorders>
            <w:shd w:val="clear" w:color="auto" w:fill="auto"/>
            <w:vAlign w:val="center"/>
          </w:tcPr>
          <w:p w14:paraId="31E3AA38">
            <w:pPr>
              <w:rPr>
                <w:rFonts w:eastAsia="Times New Roman" w:cs="Calibri"/>
                <w:b/>
                <w:bCs/>
                <w:color w:val="000000"/>
                <w:sz w:val="20"/>
                <w:szCs w:val="20"/>
              </w:rPr>
            </w:pPr>
            <w:r>
              <w:rPr>
                <w:rFonts w:eastAsia="Times New Roman" w:cs="Calibri"/>
                <w:b/>
                <w:bCs/>
                <w:color w:val="000000"/>
                <w:sz w:val="20"/>
                <w:szCs w:val="20"/>
              </w:rPr>
              <w:t>Poticanje na uređenje i očuvane okoliša,upotpunjavanje sadržaja mjesta</w:t>
            </w:r>
          </w:p>
        </w:tc>
        <w:tc>
          <w:tcPr>
            <w:tcW w:w="2126" w:type="dxa"/>
            <w:tcBorders>
              <w:top w:val="nil"/>
              <w:left w:val="nil"/>
              <w:bottom w:val="single" w:color="auto" w:sz="4" w:space="0"/>
              <w:right w:val="single" w:color="auto" w:sz="4" w:space="0"/>
            </w:tcBorders>
            <w:shd w:val="clear" w:color="auto" w:fill="auto"/>
            <w:noWrap/>
            <w:vAlign w:val="center"/>
          </w:tcPr>
          <w:p w14:paraId="4A4DE84A">
            <w:pPr>
              <w:jc w:val="right"/>
              <w:rPr>
                <w:rFonts w:eastAsia="Times New Roman" w:cs="Calibri"/>
                <w:b/>
                <w:color w:val="000000"/>
                <w:sz w:val="20"/>
                <w:szCs w:val="20"/>
              </w:rPr>
            </w:pPr>
            <w:r>
              <w:rPr>
                <w:rFonts w:hint="default" w:eastAsia="Times New Roman" w:cs="Calibri"/>
                <w:b/>
                <w:color w:val="000000"/>
                <w:sz w:val="20"/>
                <w:szCs w:val="20"/>
                <w:lang w:val="hr-HR"/>
              </w:rPr>
              <w:t>12.000,00</w:t>
            </w:r>
          </w:p>
        </w:tc>
        <w:tc>
          <w:tcPr>
            <w:tcW w:w="2013" w:type="dxa"/>
            <w:tcBorders>
              <w:top w:val="nil"/>
              <w:left w:val="nil"/>
              <w:bottom w:val="single" w:color="auto" w:sz="4" w:space="0"/>
              <w:right w:val="single" w:color="auto" w:sz="4" w:space="0"/>
            </w:tcBorders>
            <w:shd w:val="clear" w:color="auto" w:fill="auto"/>
            <w:vAlign w:val="center"/>
          </w:tcPr>
          <w:p w14:paraId="0E8ABE4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12.000,00</w:t>
            </w:r>
          </w:p>
        </w:tc>
        <w:tc>
          <w:tcPr>
            <w:tcW w:w="964" w:type="dxa"/>
            <w:tcBorders>
              <w:top w:val="nil"/>
              <w:left w:val="nil"/>
              <w:bottom w:val="single" w:color="auto" w:sz="4" w:space="0"/>
              <w:right w:val="single" w:color="auto" w:sz="4" w:space="0"/>
            </w:tcBorders>
            <w:shd w:val="clear" w:color="auto" w:fill="auto"/>
            <w:noWrap/>
            <w:vAlign w:val="center"/>
          </w:tcPr>
          <w:p w14:paraId="188D3C1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c>
          <w:tcPr>
            <w:tcW w:w="708" w:type="dxa"/>
            <w:gridSpan w:val="2"/>
            <w:tcBorders>
              <w:top w:val="nil"/>
              <w:left w:val="nil"/>
              <w:bottom w:val="single" w:color="auto" w:sz="4" w:space="0"/>
              <w:right w:val="single" w:color="auto" w:sz="4" w:space="0"/>
            </w:tcBorders>
            <w:shd w:val="clear" w:color="auto" w:fill="auto"/>
            <w:vAlign w:val="center"/>
          </w:tcPr>
          <w:p w14:paraId="4995B93D">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100</w:t>
            </w:r>
          </w:p>
        </w:tc>
      </w:tr>
      <w:tr w14:paraId="2BBDAE74">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1208959A">
            <w:pPr>
              <w:rPr>
                <w:rFonts w:eastAsia="Times New Roman" w:cs="Calibri"/>
                <w:b/>
                <w:bCs/>
                <w:color w:val="000000"/>
                <w:sz w:val="20"/>
                <w:szCs w:val="20"/>
              </w:rPr>
            </w:pPr>
            <w:r>
              <w:rPr>
                <w:rFonts w:eastAsia="Times New Roman" w:cs="Calibri"/>
                <w:b/>
                <w:bCs/>
                <w:color w:val="000000"/>
                <w:sz w:val="20"/>
                <w:szCs w:val="20"/>
              </w:rPr>
              <w:t>5.</w:t>
            </w:r>
          </w:p>
        </w:tc>
        <w:tc>
          <w:tcPr>
            <w:tcW w:w="709" w:type="dxa"/>
            <w:tcBorders>
              <w:top w:val="nil"/>
              <w:left w:val="nil"/>
              <w:bottom w:val="single" w:color="auto" w:sz="4" w:space="0"/>
              <w:right w:val="single" w:color="auto" w:sz="4" w:space="0"/>
            </w:tcBorders>
            <w:shd w:val="clear" w:color="000000" w:fill="DDEBF7"/>
            <w:vAlign w:val="center"/>
          </w:tcPr>
          <w:p w14:paraId="154EE08F">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2643DB1A">
            <w:pPr>
              <w:rPr>
                <w:rFonts w:eastAsia="Times New Roman" w:cs="Calibri"/>
                <w:b/>
                <w:bCs/>
                <w:color w:val="000000"/>
                <w:sz w:val="20"/>
                <w:szCs w:val="20"/>
              </w:rPr>
            </w:pPr>
            <w:r>
              <w:rPr>
                <w:rFonts w:eastAsia="Times New Roman" w:cs="Calibri"/>
                <w:b/>
                <w:bCs/>
                <w:color w:val="000000"/>
                <w:sz w:val="20"/>
                <w:szCs w:val="20"/>
              </w:rPr>
              <w:t>ČLANSTVO U STRUKOVNIM ORGANIZACIJAMA</w:t>
            </w:r>
          </w:p>
        </w:tc>
        <w:tc>
          <w:tcPr>
            <w:tcW w:w="2126" w:type="dxa"/>
            <w:tcBorders>
              <w:top w:val="nil"/>
              <w:left w:val="nil"/>
              <w:bottom w:val="single" w:color="auto" w:sz="4" w:space="0"/>
              <w:right w:val="single" w:color="auto" w:sz="4" w:space="0"/>
            </w:tcBorders>
            <w:shd w:val="clear" w:color="000000" w:fill="DDEBF7"/>
            <w:noWrap/>
            <w:vAlign w:val="center"/>
          </w:tcPr>
          <w:p w14:paraId="1EC270E4">
            <w:pPr>
              <w:jc w:val="right"/>
              <w:rPr>
                <w:rFonts w:eastAsia="Times New Roman" w:cs="Calibri"/>
                <w:b/>
                <w:color w:val="000000"/>
                <w:sz w:val="20"/>
                <w:szCs w:val="20"/>
              </w:rPr>
            </w:pPr>
            <w:r>
              <w:rPr>
                <w:rFonts w:hint="default" w:eastAsia="Times New Roman" w:cs="Calibri"/>
                <w:b/>
                <w:color w:val="000000"/>
                <w:sz w:val="20"/>
                <w:szCs w:val="20"/>
                <w:lang w:val="hr-HR"/>
              </w:rPr>
              <w:t>0,00</w:t>
            </w:r>
          </w:p>
        </w:tc>
        <w:tc>
          <w:tcPr>
            <w:tcW w:w="2013" w:type="dxa"/>
            <w:tcBorders>
              <w:top w:val="nil"/>
              <w:left w:val="nil"/>
              <w:bottom w:val="single" w:color="auto" w:sz="4" w:space="0"/>
              <w:right w:val="single" w:color="auto" w:sz="4" w:space="0"/>
            </w:tcBorders>
            <w:shd w:val="clear" w:color="000000" w:fill="DDEBF7"/>
            <w:vAlign w:val="center"/>
          </w:tcPr>
          <w:p w14:paraId="0F33BD4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964" w:type="dxa"/>
            <w:tcBorders>
              <w:top w:val="nil"/>
              <w:left w:val="nil"/>
              <w:bottom w:val="single" w:color="auto" w:sz="4" w:space="0"/>
              <w:right w:val="single" w:color="auto" w:sz="4" w:space="0"/>
            </w:tcBorders>
            <w:shd w:val="clear" w:color="000000" w:fill="DDEBF7"/>
            <w:noWrap/>
            <w:vAlign w:val="center"/>
          </w:tcPr>
          <w:p w14:paraId="4196A9EF">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000000" w:fill="DDEBF7"/>
            <w:vAlign w:val="center"/>
          </w:tcPr>
          <w:p w14:paraId="1B666494">
            <w:pPr>
              <w:jc w:val="right"/>
              <w:rPr>
                <w:rFonts w:eastAsia="Times New Roman" w:cs="Calibri"/>
                <w:b/>
                <w:color w:val="000000"/>
                <w:sz w:val="20"/>
                <w:szCs w:val="20"/>
              </w:rPr>
            </w:pPr>
            <w:r>
              <w:rPr>
                <w:rFonts w:eastAsia="Times New Roman" w:cs="Calibri"/>
                <w:b/>
                <w:color w:val="000000"/>
                <w:sz w:val="20"/>
                <w:szCs w:val="20"/>
              </w:rPr>
              <w:t>100</w:t>
            </w:r>
          </w:p>
        </w:tc>
      </w:tr>
      <w:tr w14:paraId="71259522">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685303B9">
            <w:pPr>
              <w:rPr>
                <w:rFonts w:eastAsia="Times New Roman" w:cs="Calibri"/>
                <w:b/>
                <w:bCs/>
                <w:color w:val="000000"/>
                <w:sz w:val="20"/>
                <w:szCs w:val="20"/>
              </w:rPr>
            </w:pPr>
            <w:r>
              <w:rPr>
                <w:rFonts w:eastAsia="Times New Roman" w:cs="Calibri"/>
                <w:b/>
                <w:bCs/>
                <w:color w:val="000000"/>
                <w:sz w:val="20"/>
                <w:szCs w:val="20"/>
              </w:rPr>
              <w:t>6.</w:t>
            </w:r>
          </w:p>
        </w:tc>
        <w:tc>
          <w:tcPr>
            <w:tcW w:w="709" w:type="dxa"/>
            <w:tcBorders>
              <w:top w:val="nil"/>
              <w:left w:val="nil"/>
              <w:bottom w:val="single" w:color="auto" w:sz="4" w:space="0"/>
              <w:right w:val="single" w:color="auto" w:sz="4" w:space="0"/>
            </w:tcBorders>
            <w:shd w:val="clear" w:color="000000" w:fill="DDEBF7"/>
            <w:vAlign w:val="center"/>
          </w:tcPr>
          <w:p w14:paraId="4B8F60CA">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0659E1B2">
            <w:pPr>
              <w:rPr>
                <w:rFonts w:eastAsia="Times New Roman" w:cs="Calibri"/>
                <w:b/>
                <w:bCs/>
                <w:color w:val="000000"/>
                <w:sz w:val="20"/>
                <w:szCs w:val="20"/>
              </w:rPr>
            </w:pPr>
            <w:r>
              <w:rPr>
                <w:rFonts w:eastAsia="Times New Roman" w:cs="Calibri"/>
                <w:b/>
                <w:bCs/>
                <w:color w:val="000000"/>
                <w:sz w:val="20"/>
                <w:szCs w:val="20"/>
              </w:rPr>
              <w:t>ADMINISTRATIVNI RASHODI</w:t>
            </w:r>
          </w:p>
        </w:tc>
        <w:tc>
          <w:tcPr>
            <w:tcW w:w="2126" w:type="dxa"/>
            <w:tcBorders>
              <w:top w:val="nil"/>
              <w:left w:val="nil"/>
              <w:bottom w:val="single" w:color="auto" w:sz="4" w:space="0"/>
              <w:right w:val="single" w:color="auto" w:sz="4" w:space="0"/>
            </w:tcBorders>
            <w:shd w:val="clear" w:color="000000" w:fill="DDEBF7"/>
            <w:noWrap/>
            <w:vAlign w:val="center"/>
          </w:tcPr>
          <w:p w14:paraId="77EF7434">
            <w:pPr>
              <w:jc w:val="right"/>
              <w:rPr>
                <w:rFonts w:eastAsia="Times New Roman" w:cs="Calibri"/>
                <w:b/>
                <w:color w:val="000000"/>
                <w:sz w:val="20"/>
                <w:szCs w:val="20"/>
              </w:rPr>
            </w:pPr>
            <w:r>
              <w:rPr>
                <w:rFonts w:hint="default" w:eastAsia="Times New Roman" w:cs="Calibri"/>
                <w:b/>
                <w:color w:val="000000"/>
                <w:sz w:val="20"/>
                <w:szCs w:val="20"/>
                <w:lang w:val="hr-HR"/>
              </w:rPr>
              <w:t>47.000,00</w:t>
            </w:r>
          </w:p>
        </w:tc>
        <w:tc>
          <w:tcPr>
            <w:tcW w:w="2013" w:type="dxa"/>
            <w:tcBorders>
              <w:top w:val="nil"/>
              <w:left w:val="nil"/>
              <w:bottom w:val="single" w:color="auto" w:sz="4" w:space="0"/>
              <w:right w:val="single" w:color="auto" w:sz="4" w:space="0"/>
            </w:tcBorders>
            <w:shd w:val="clear" w:color="000000" w:fill="DDEBF7"/>
            <w:vAlign w:val="center"/>
          </w:tcPr>
          <w:p w14:paraId="791896FB">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50.000,00</w:t>
            </w:r>
          </w:p>
        </w:tc>
        <w:tc>
          <w:tcPr>
            <w:tcW w:w="964" w:type="dxa"/>
            <w:tcBorders>
              <w:top w:val="nil"/>
              <w:left w:val="nil"/>
              <w:bottom w:val="single" w:color="auto" w:sz="4" w:space="0"/>
              <w:right w:val="single" w:color="auto" w:sz="4" w:space="0"/>
            </w:tcBorders>
            <w:shd w:val="clear" w:color="000000" w:fill="DDEBF7"/>
            <w:noWrap/>
            <w:vAlign w:val="center"/>
          </w:tcPr>
          <w:p w14:paraId="175343D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0,00</w:t>
            </w:r>
          </w:p>
        </w:tc>
        <w:tc>
          <w:tcPr>
            <w:tcW w:w="708" w:type="dxa"/>
            <w:gridSpan w:val="2"/>
            <w:tcBorders>
              <w:top w:val="nil"/>
              <w:left w:val="nil"/>
              <w:bottom w:val="single" w:color="auto" w:sz="4" w:space="0"/>
              <w:right w:val="single" w:color="auto" w:sz="4" w:space="0"/>
            </w:tcBorders>
            <w:shd w:val="clear" w:color="000000" w:fill="DDEBF7"/>
            <w:vAlign w:val="center"/>
          </w:tcPr>
          <w:p w14:paraId="258A9015">
            <w:pPr>
              <w:jc w:val="right"/>
              <w:rPr>
                <w:rFonts w:eastAsia="Times New Roman" w:cs="Calibri"/>
                <w:b/>
                <w:color w:val="000000"/>
                <w:sz w:val="20"/>
                <w:szCs w:val="20"/>
              </w:rPr>
            </w:pPr>
            <w:r>
              <w:rPr>
                <w:rFonts w:eastAsia="Times New Roman" w:cs="Calibri"/>
                <w:b/>
                <w:color w:val="000000"/>
                <w:sz w:val="20"/>
                <w:szCs w:val="20"/>
              </w:rPr>
              <w:t>100</w:t>
            </w:r>
          </w:p>
        </w:tc>
      </w:tr>
      <w:tr w14:paraId="248F4747">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23529E9E">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3D4BFEC0">
            <w:pPr>
              <w:rPr>
                <w:rFonts w:eastAsia="Times New Roman" w:cs="Calibri"/>
                <w:b/>
                <w:bCs/>
                <w:color w:val="000000"/>
                <w:sz w:val="20"/>
                <w:szCs w:val="20"/>
              </w:rPr>
            </w:pPr>
            <w:r>
              <w:rPr>
                <w:rFonts w:eastAsia="Times New Roman" w:cs="Calibri"/>
                <w:b/>
                <w:bCs/>
                <w:color w:val="000000"/>
                <w:sz w:val="20"/>
                <w:szCs w:val="20"/>
              </w:rPr>
              <w:t>6.1.</w:t>
            </w:r>
          </w:p>
        </w:tc>
        <w:tc>
          <w:tcPr>
            <w:tcW w:w="2835" w:type="dxa"/>
            <w:tcBorders>
              <w:top w:val="nil"/>
              <w:left w:val="nil"/>
              <w:bottom w:val="single" w:color="auto" w:sz="4" w:space="0"/>
              <w:right w:val="single" w:color="auto" w:sz="4" w:space="0"/>
            </w:tcBorders>
            <w:shd w:val="clear" w:color="auto" w:fill="auto"/>
            <w:vAlign w:val="center"/>
          </w:tcPr>
          <w:p w14:paraId="105E91F3">
            <w:pPr>
              <w:rPr>
                <w:rFonts w:hint="default" w:eastAsia="Times New Roman" w:cs="Calibri"/>
                <w:b/>
                <w:bCs/>
                <w:color w:val="000000"/>
                <w:sz w:val="20"/>
                <w:szCs w:val="20"/>
                <w:lang w:val="hr-HR"/>
              </w:rPr>
            </w:pPr>
            <w:r>
              <w:rPr>
                <w:rFonts w:eastAsia="Times New Roman" w:cs="Calibri"/>
                <w:b/>
                <w:bCs/>
                <w:color w:val="000000"/>
                <w:sz w:val="20"/>
                <w:szCs w:val="20"/>
              </w:rPr>
              <w:t>Plaće</w:t>
            </w:r>
            <w:r>
              <w:rPr>
                <w:rFonts w:hint="default" w:eastAsia="Times New Roman" w:cs="Calibri"/>
                <w:b/>
                <w:bCs/>
                <w:color w:val="000000"/>
                <w:sz w:val="20"/>
                <w:szCs w:val="20"/>
                <w:lang w:val="hr-HR"/>
              </w:rPr>
              <w:t>,direktor,Tic i sezonac</w:t>
            </w:r>
          </w:p>
        </w:tc>
        <w:tc>
          <w:tcPr>
            <w:tcW w:w="2126" w:type="dxa"/>
            <w:tcBorders>
              <w:top w:val="nil"/>
              <w:left w:val="nil"/>
              <w:bottom w:val="single" w:color="auto" w:sz="4" w:space="0"/>
              <w:right w:val="single" w:color="auto" w:sz="4" w:space="0"/>
            </w:tcBorders>
            <w:shd w:val="clear" w:color="auto" w:fill="auto"/>
            <w:noWrap/>
            <w:vAlign w:val="center"/>
          </w:tcPr>
          <w:p w14:paraId="3BFB6F4A">
            <w:pPr>
              <w:jc w:val="right"/>
              <w:rPr>
                <w:rFonts w:eastAsia="Times New Roman" w:cs="Calibri"/>
                <w:b/>
                <w:color w:val="000000"/>
                <w:sz w:val="20"/>
                <w:szCs w:val="20"/>
              </w:rPr>
            </w:pPr>
            <w:r>
              <w:rPr>
                <w:rFonts w:hint="default" w:eastAsia="Times New Roman" w:cs="Calibri"/>
                <w:b/>
                <w:color w:val="000000"/>
                <w:sz w:val="20"/>
                <w:szCs w:val="20"/>
                <w:lang w:val="hr-HR"/>
              </w:rPr>
              <w:t>40.000,00</w:t>
            </w:r>
          </w:p>
        </w:tc>
        <w:tc>
          <w:tcPr>
            <w:tcW w:w="2013" w:type="dxa"/>
            <w:tcBorders>
              <w:top w:val="nil"/>
              <w:left w:val="nil"/>
              <w:bottom w:val="single" w:color="auto" w:sz="4" w:space="0"/>
              <w:right w:val="single" w:color="auto" w:sz="4" w:space="0"/>
            </w:tcBorders>
            <w:shd w:val="clear" w:color="auto" w:fill="auto"/>
            <w:vAlign w:val="center"/>
          </w:tcPr>
          <w:p w14:paraId="4A06ED93">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45.000,00</w:t>
            </w:r>
          </w:p>
        </w:tc>
        <w:tc>
          <w:tcPr>
            <w:tcW w:w="964" w:type="dxa"/>
            <w:tcBorders>
              <w:top w:val="nil"/>
              <w:left w:val="nil"/>
              <w:bottom w:val="single" w:color="auto" w:sz="4" w:space="0"/>
              <w:right w:val="single" w:color="auto" w:sz="4" w:space="0"/>
            </w:tcBorders>
            <w:shd w:val="clear" w:color="auto" w:fill="auto"/>
            <w:noWrap/>
            <w:vAlign w:val="center"/>
          </w:tcPr>
          <w:p w14:paraId="6DAA3EC6">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112,50</w:t>
            </w:r>
          </w:p>
        </w:tc>
        <w:tc>
          <w:tcPr>
            <w:tcW w:w="708" w:type="dxa"/>
            <w:gridSpan w:val="2"/>
            <w:tcBorders>
              <w:top w:val="nil"/>
              <w:left w:val="nil"/>
              <w:bottom w:val="single" w:color="auto" w:sz="4" w:space="0"/>
              <w:right w:val="single" w:color="auto" w:sz="4" w:space="0"/>
            </w:tcBorders>
            <w:shd w:val="clear" w:color="auto" w:fill="auto"/>
            <w:vAlign w:val="center"/>
          </w:tcPr>
          <w:p w14:paraId="0FF7B25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85,11</w:t>
            </w:r>
          </w:p>
        </w:tc>
      </w:tr>
      <w:tr w14:paraId="5507E930">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auto" w:fill="auto"/>
            <w:vAlign w:val="center"/>
          </w:tcPr>
          <w:p w14:paraId="0F0669F1">
            <w:pPr>
              <w:rPr>
                <w:rFonts w:eastAsia="Times New Roman" w:cs="Calibri"/>
                <w:b/>
                <w:bCs/>
                <w:color w:val="000000"/>
                <w:sz w:val="20"/>
                <w:szCs w:val="20"/>
              </w:rPr>
            </w:pPr>
            <w:r>
              <w:rPr>
                <w:rFonts w:eastAsia="Times New Roman" w:cs="Calibri"/>
                <w:b/>
                <w:bCs/>
                <w:color w:val="000000"/>
                <w:sz w:val="20"/>
                <w:szCs w:val="20"/>
              </w:rPr>
              <w:t> </w:t>
            </w:r>
          </w:p>
        </w:tc>
        <w:tc>
          <w:tcPr>
            <w:tcW w:w="709" w:type="dxa"/>
            <w:tcBorders>
              <w:top w:val="nil"/>
              <w:left w:val="nil"/>
              <w:bottom w:val="single" w:color="auto" w:sz="4" w:space="0"/>
              <w:right w:val="single" w:color="auto" w:sz="4" w:space="0"/>
            </w:tcBorders>
            <w:shd w:val="clear" w:color="auto" w:fill="auto"/>
            <w:vAlign w:val="center"/>
          </w:tcPr>
          <w:p w14:paraId="091E5987">
            <w:pPr>
              <w:rPr>
                <w:rFonts w:eastAsia="Times New Roman" w:cs="Calibri"/>
                <w:b/>
                <w:bCs/>
                <w:color w:val="000000"/>
                <w:sz w:val="20"/>
                <w:szCs w:val="20"/>
              </w:rPr>
            </w:pPr>
            <w:r>
              <w:rPr>
                <w:rFonts w:eastAsia="Times New Roman" w:cs="Calibri"/>
                <w:b/>
                <w:bCs/>
                <w:color w:val="000000"/>
                <w:sz w:val="20"/>
                <w:szCs w:val="20"/>
              </w:rPr>
              <w:t>6.2.</w:t>
            </w:r>
          </w:p>
        </w:tc>
        <w:tc>
          <w:tcPr>
            <w:tcW w:w="2835" w:type="dxa"/>
            <w:tcBorders>
              <w:top w:val="nil"/>
              <w:left w:val="nil"/>
              <w:bottom w:val="single" w:color="auto" w:sz="4" w:space="0"/>
              <w:right w:val="single" w:color="auto" w:sz="4" w:space="0"/>
            </w:tcBorders>
            <w:shd w:val="clear" w:color="auto" w:fill="auto"/>
            <w:vAlign w:val="center"/>
          </w:tcPr>
          <w:p w14:paraId="2C026DE0">
            <w:pPr>
              <w:rPr>
                <w:rFonts w:eastAsia="Times New Roman" w:cs="Calibri"/>
                <w:b/>
                <w:bCs/>
                <w:color w:val="000000"/>
                <w:sz w:val="20"/>
                <w:szCs w:val="20"/>
              </w:rPr>
            </w:pPr>
            <w:r>
              <w:rPr>
                <w:rFonts w:eastAsia="Times New Roman" w:cs="Calibri"/>
                <w:b/>
                <w:bCs/>
                <w:color w:val="000000"/>
                <w:sz w:val="20"/>
                <w:szCs w:val="20"/>
              </w:rPr>
              <w:t>Materijalni troškovi knjigovodstva,ureda,reprezentacija.voda,otpad,banka,naknade</w:t>
            </w:r>
          </w:p>
        </w:tc>
        <w:tc>
          <w:tcPr>
            <w:tcW w:w="2126" w:type="dxa"/>
            <w:tcBorders>
              <w:top w:val="nil"/>
              <w:left w:val="nil"/>
              <w:bottom w:val="single" w:color="auto" w:sz="4" w:space="0"/>
              <w:right w:val="single" w:color="auto" w:sz="4" w:space="0"/>
            </w:tcBorders>
            <w:shd w:val="clear" w:color="auto" w:fill="auto"/>
            <w:noWrap/>
            <w:vAlign w:val="center"/>
          </w:tcPr>
          <w:p w14:paraId="2EE88A43">
            <w:pPr>
              <w:jc w:val="right"/>
              <w:rPr>
                <w:rFonts w:eastAsia="Times New Roman" w:cs="Calibri"/>
                <w:b/>
                <w:color w:val="000000"/>
                <w:sz w:val="20"/>
                <w:szCs w:val="20"/>
              </w:rPr>
            </w:pPr>
            <w:r>
              <w:rPr>
                <w:rFonts w:hint="default" w:eastAsia="Times New Roman" w:cs="Calibri"/>
                <w:b/>
                <w:color w:val="000000"/>
                <w:sz w:val="20"/>
                <w:szCs w:val="20"/>
                <w:lang w:val="hr-HR"/>
              </w:rPr>
              <w:t>7.000,00</w:t>
            </w:r>
          </w:p>
        </w:tc>
        <w:tc>
          <w:tcPr>
            <w:tcW w:w="2013" w:type="dxa"/>
            <w:tcBorders>
              <w:top w:val="nil"/>
              <w:left w:val="nil"/>
              <w:bottom w:val="single" w:color="auto" w:sz="4" w:space="0"/>
              <w:right w:val="single" w:color="auto" w:sz="4" w:space="0"/>
            </w:tcBorders>
            <w:shd w:val="clear" w:color="auto" w:fill="auto"/>
            <w:vAlign w:val="center"/>
          </w:tcPr>
          <w:p w14:paraId="6D8E3EC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5.000,00</w:t>
            </w:r>
          </w:p>
        </w:tc>
        <w:tc>
          <w:tcPr>
            <w:tcW w:w="964" w:type="dxa"/>
            <w:tcBorders>
              <w:top w:val="nil"/>
              <w:left w:val="nil"/>
              <w:bottom w:val="single" w:color="auto" w:sz="4" w:space="0"/>
              <w:right w:val="single" w:color="auto" w:sz="4" w:space="0"/>
            </w:tcBorders>
            <w:shd w:val="clear" w:color="auto" w:fill="auto"/>
            <w:noWrap/>
            <w:vAlign w:val="center"/>
          </w:tcPr>
          <w:p w14:paraId="468ED078">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71,43</w:t>
            </w:r>
          </w:p>
        </w:tc>
        <w:tc>
          <w:tcPr>
            <w:tcW w:w="708" w:type="dxa"/>
            <w:gridSpan w:val="2"/>
            <w:tcBorders>
              <w:top w:val="nil"/>
              <w:left w:val="nil"/>
              <w:bottom w:val="single" w:color="auto" w:sz="4" w:space="0"/>
              <w:right w:val="single" w:color="auto" w:sz="4" w:space="0"/>
            </w:tcBorders>
            <w:shd w:val="clear" w:color="auto" w:fill="auto"/>
            <w:vAlign w:val="center"/>
          </w:tcPr>
          <w:p w14:paraId="74318C9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14,89</w:t>
            </w:r>
          </w:p>
        </w:tc>
      </w:tr>
      <w:tr w14:paraId="1AF1A1FA">
        <w:tblPrEx>
          <w:tblCellMar>
            <w:top w:w="0" w:type="dxa"/>
            <w:left w:w="108" w:type="dxa"/>
            <w:bottom w:w="0" w:type="dxa"/>
            <w:right w:w="108" w:type="dxa"/>
          </w:tblCellMar>
        </w:tblPrEx>
        <w:trPr>
          <w:trHeight w:val="288" w:hRule="atLeast"/>
        </w:trPr>
        <w:tc>
          <w:tcPr>
            <w:tcW w:w="392" w:type="dxa"/>
            <w:tcBorders>
              <w:top w:val="nil"/>
              <w:left w:val="single" w:color="auto" w:sz="4" w:space="0"/>
              <w:bottom w:val="single" w:color="auto" w:sz="4" w:space="0"/>
              <w:right w:val="single" w:color="auto" w:sz="4" w:space="0"/>
            </w:tcBorders>
            <w:shd w:val="clear" w:color="000000" w:fill="DDEBF7"/>
            <w:vAlign w:val="center"/>
          </w:tcPr>
          <w:p w14:paraId="68EBE92A">
            <w:pPr>
              <w:rPr>
                <w:rFonts w:eastAsia="Times New Roman" w:cs="Calibri"/>
                <w:b/>
                <w:bCs/>
                <w:color w:val="000000"/>
                <w:sz w:val="20"/>
                <w:szCs w:val="20"/>
              </w:rPr>
            </w:pPr>
            <w:r>
              <w:rPr>
                <w:rFonts w:eastAsia="Times New Roman" w:cs="Calibri"/>
                <w:b/>
                <w:bCs/>
                <w:color w:val="000000"/>
                <w:sz w:val="20"/>
                <w:szCs w:val="20"/>
              </w:rPr>
              <w:t>7.</w:t>
            </w:r>
          </w:p>
        </w:tc>
        <w:tc>
          <w:tcPr>
            <w:tcW w:w="709" w:type="dxa"/>
            <w:tcBorders>
              <w:top w:val="nil"/>
              <w:left w:val="nil"/>
              <w:bottom w:val="single" w:color="auto" w:sz="4" w:space="0"/>
              <w:right w:val="single" w:color="auto" w:sz="4" w:space="0"/>
            </w:tcBorders>
            <w:shd w:val="clear" w:color="000000" w:fill="DDEBF7"/>
            <w:vAlign w:val="center"/>
          </w:tcPr>
          <w:p w14:paraId="21D80F2D">
            <w:pPr>
              <w:rPr>
                <w:rFonts w:eastAsia="Times New Roman" w:cs="Calibri"/>
                <w:b/>
                <w:bCs/>
                <w:color w:val="000000"/>
                <w:sz w:val="20"/>
                <w:szCs w:val="20"/>
              </w:rPr>
            </w:pPr>
            <w:r>
              <w:rPr>
                <w:rFonts w:eastAsia="Times New Roman" w:cs="Calibri"/>
                <w:b/>
                <w:bCs/>
                <w:color w:val="000000"/>
                <w:sz w:val="20"/>
                <w:szCs w:val="20"/>
              </w:rPr>
              <w:t> </w:t>
            </w:r>
          </w:p>
        </w:tc>
        <w:tc>
          <w:tcPr>
            <w:tcW w:w="2835" w:type="dxa"/>
            <w:tcBorders>
              <w:top w:val="nil"/>
              <w:left w:val="nil"/>
              <w:bottom w:val="single" w:color="auto" w:sz="4" w:space="0"/>
              <w:right w:val="single" w:color="auto" w:sz="4" w:space="0"/>
            </w:tcBorders>
            <w:shd w:val="clear" w:color="000000" w:fill="DDEBF7"/>
            <w:vAlign w:val="center"/>
          </w:tcPr>
          <w:p w14:paraId="7A0594D5">
            <w:pPr>
              <w:rPr>
                <w:rFonts w:eastAsia="Times New Roman" w:cs="Calibri"/>
                <w:b/>
                <w:bCs/>
                <w:color w:val="000000"/>
                <w:sz w:val="20"/>
                <w:szCs w:val="20"/>
              </w:rPr>
            </w:pPr>
            <w:r>
              <w:rPr>
                <w:rFonts w:eastAsia="Times New Roman" w:cs="Calibri"/>
                <w:b/>
                <w:bCs/>
                <w:color w:val="000000"/>
                <w:sz w:val="20"/>
                <w:szCs w:val="20"/>
              </w:rPr>
              <w:t xml:space="preserve">REZERVA </w:t>
            </w:r>
          </w:p>
        </w:tc>
        <w:tc>
          <w:tcPr>
            <w:tcW w:w="2126" w:type="dxa"/>
            <w:tcBorders>
              <w:top w:val="nil"/>
              <w:left w:val="nil"/>
              <w:bottom w:val="single" w:color="auto" w:sz="4" w:space="0"/>
              <w:right w:val="single" w:color="auto" w:sz="4" w:space="0"/>
            </w:tcBorders>
            <w:shd w:val="clear" w:color="000000" w:fill="DDEBF7"/>
            <w:noWrap/>
            <w:vAlign w:val="center"/>
          </w:tcPr>
          <w:p w14:paraId="65D9969B">
            <w:pPr>
              <w:jc w:val="right"/>
              <w:rPr>
                <w:rFonts w:eastAsia="Times New Roman" w:cs="Calibri"/>
                <w:b/>
                <w:color w:val="000000"/>
                <w:sz w:val="20"/>
                <w:szCs w:val="20"/>
              </w:rPr>
            </w:pPr>
            <w:r>
              <w:rPr>
                <w:rFonts w:hint="default" w:eastAsia="Times New Roman" w:cs="Calibri"/>
                <w:b/>
                <w:color w:val="000000"/>
                <w:sz w:val="20"/>
                <w:szCs w:val="20"/>
                <w:lang w:val="hr-HR"/>
              </w:rPr>
              <w:t>5.000,00</w:t>
            </w:r>
          </w:p>
        </w:tc>
        <w:tc>
          <w:tcPr>
            <w:tcW w:w="2013" w:type="dxa"/>
            <w:tcBorders>
              <w:top w:val="nil"/>
              <w:left w:val="nil"/>
              <w:bottom w:val="single" w:color="auto" w:sz="4" w:space="0"/>
              <w:right w:val="single" w:color="auto" w:sz="4" w:space="0"/>
            </w:tcBorders>
            <w:shd w:val="clear" w:color="000000" w:fill="DDEBF7"/>
            <w:vAlign w:val="center"/>
          </w:tcPr>
          <w:p w14:paraId="024A29C5">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3.000,00</w:t>
            </w:r>
          </w:p>
        </w:tc>
        <w:tc>
          <w:tcPr>
            <w:tcW w:w="964" w:type="dxa"/>
            <w:tcBorders>
              <w:top w:val="nil"/>
              <w:left w:val="nil"/>
              <w:bottom w:val="single" w:color="auto" w:sz="4" w:space="0"/>
              <w:right w:val="single" w:color="auto" w:sz="4" w:space="0"/>
            </w:tcBorders>
            <w:shd w:val="clear" w:color="000000" w:fill="DDEBF7"/>
            <w:noWrap/>
            <w:vAlign w:val="center"/>
          </w:tcPr>
          <w:p w14:paraId="46B88BBC">
            <w:pPr>
              <w:jc w:val="right"/>
              <w:rPr>
                <w:rFonts w:hint="default" w:eastAsia="Times New Roman" w:cs="Calibri"/>
                <w:b/>
                <w:color w:val="000000"/>
                <w:sz w:val="20"/>
                <w:szCs w:val="20"/>
                <w:lang w:val="hr-HR"/>
              </w:rPr>
            </w:pPr>
            <w:r>
              <w:rPr>
                <w:rFonts w:hint="default" w:eastAsia="Times New Roman" w:cs="Calibri"/>
                <w:b/>
                <w:color w:val="000000"/>
                <w:sz w:val="20"/>
                <w:szCs w:val="20"/>
                <w:lang w:val="hr-HR"/>
              </w:rPr>
              <w:t>600</w:t>
            </w:r>
          </w:p>
        </w:tc>
        <w:tc>
          <w:tcPr>
            <w:tcW w:w="708" w:type="dxa"/>
            <w:gridSpan w:val="2"/>
            <w:tcBorders>
              <w:top w:val="nil"/>
              <w:left w:val="nil"/>
              <w:bottom w:val="single" w:color="auto" w:sz="4" w:space="0"/>
              <w:right w:val="single" w:color="auto" w:sz="4" w:space="0"/>
            </w:tcBorders>
            <w:shd w:val="clear" w:color="000000" w:fill="DDEBF7"/>
            <w:vAlign w:val="center"/>
          </w:tcPr>
          <w:p w14:paraId="702FBC48">
            <w:pPr>
              <w:jc w:val="right"/>
              <w:rPr>
                <w:rFonts w:eastAsia="Times New Roman" w:cs="Calibri"/>
                <w:b/>
                <w:color w:val="000000"/>
                <w:sz w:val="20"/>
                <w:szCs w:val="20"/>
              </w:rPr>
            </w:pPr>
            <w:r>
              <w:rPr>
                <w:rFonts w:eastAsia="Times New Roman" w:cs="Calibri"/>
                <w:b/>
                <w:color w:val="000000"/>
                <w:sz w:val="20"/>
                <w:szCs w:val="20"/>
              </w:rPr>
              <w:t>100</w:t>
            </w:r>
          </w:p>
        </w:tc>
      </w:tr>
      <w:tr w14:paraId="2B60ECB5">
        <w:tblPrEx>
          <w:tblCellMar>
            <w:top w:w="0" w:type="dxa"/>
            <w:left w:w="108" w:type="dxa"/>
            <w:bottom w:w="0" w:type="dxa"/>
            <w:right w:w="108" w:type="dxa"/>
          </w:tblCellMar>
        </w:tblPrEx>
        <w:trPr>
          <w:trHeight w:val="312" w:hRule="atLeast"/>
        </w:trPr>
        <w:tc>
          <w:tcPr>
            <w:tcW w:w="1101" w:type="dxa"/>
            <w:gridSpan w:val="2"/>
            <w:tcBorders>
              <w:top w:val="single" w:color="auto" w:sz="4" w:space="0"/>
              <w:left w:val="single" w:color="auto" w:sz="4" w:space="0"/>
              <w:bottom w:val="single" w:color="auto" w:sz="4" w:space="0"/>
              <w:right w:val="single" w:color="auto" w:sz="4" w:space="0"/>
            </w:tcBorders>
            <w:shd w:val="clear" w:color="000000" w:fill="003764"/>
            <w:vAlign w:val="center"/>
          </w:tcPr>
          <w:p w14:paraId="23514719">
            <w:pPr>
              <w:rPr>
                <w:rFonts w:eastAsia="Times New Roman" w:cs="Calibri"/>
                <w:b/>
                <w:bCs/>
                <w:color w:val="FFFFFF"/>
                <w:sz w:val="20"/>
                <w:szCs w:val="20"/>
              </w:rPr>
            </w:pPr>
            <w:r>
              <w:rPr>
                <w:rFonts w:eastAsia="Times New Roman" w:cs="Calibri"/>
                <w:b/>
                <w:bCs/>
                <w:color w:val="FFFFFF"/>
                <w:sz w:val="20"/>
                <w:szCs w:val="20"/>
              </w:rPr>
              <w:t> </w:t>
            </w:r>
          </w:p>
        </w:tc>
        <w:tc>
          <w:tcPr>
            <w:tcW w:w="2835" w:type="dxa"/>
            <w:tcBorders>
              <w:top w:val="nil"/>
              <w:left w:val="nil"/>
              <w:bottom w:val="single" w:color="auto" w:sz="4" w:space="0"/>
              <w:right w:val="single" w:color="auto" w:sz="4" w:space="0"/>
            </w:tcBorders>
            <w:shd w:val="clear" w:color="000000" w:fill="003764"/>
            <w:vAlign w:val="center"/>
          </w:tcPr>
          <w:p w14:paraId="3AF0B4F4">
            <w:pPr>
              <w:rPr>
                <w:rFonts w:eastAsia="Times New Roman" w:cs="Calibri"/>
                <w:b/>
                <w:bCs/>
                <w:color w:val="FFFFFF"/>
                <w:sz w:val="20"/>
                <w:szCs w:val="20"/>
              </w:rPr>
            </w:pPr>
            <w:r>
              <w:rPr>
                <w:rFonts w:eastAsia="Times New Roman" w:cs="Calibri"/>
                <w:b/>
                <w:bCs/>
                <w:color w:val="FFFFFF"/>
                <w:sz w:val="20"/>
                <w:szCs w:val="20"/>
              </w:rPr>
              <w:t>UKUPNO RASHODI</w:t>
            </w:r>
          </w:p>
        </w:tc>
        <w:tc>
          <w:tcPr>
            <w:tcW w:w="2126" w:type="dxa"/>
            <w:tcBorders>
              <w:top w:val="nil"/>
              <w:left w:val="nil"/>
              <w:bottom w:val="single" w:color="auto" w:sz="4" w:space="0"/>
              <w:right w:val="single" w:color="auto" w:sz="4" w:space="0"/>
            </w:tcBorders>
            <w:shd w:val="clear" w:color="000000" w:fill="003764"/>
            <w:noWrap/>
            <w:vAlign w:val="center"/>
          </w:tcPr>
          <w:p w14:paraId="0304DAEE">
            <w:pPr>
              <w:jc w:val="right"/>
              <w:rPr>
                <w:rFonts w:eastAsia="Times New Roman" w:cs="Calibri"/>
                <w:b/>
                <w:bCs/>
                <w:color w:val="FFFFFF"/>
                <w:sz w:val="20"/>
                <w:szCs w:val="20"/>
              </w:rPr>
            </w:pPr>
            <w:r>
              <w:rPr>
                <w:rFonts w:hint="default" w:eastAsia="Times New Roman" w:cs="Calibri"/>
                <w:b/>
                <w:bCs/>
                <w:color w:val="FFFFFF"/>
                <w:sz w:val="20"/>
                <w:szCs w:val="20"/>
                <w:lang w:val="hr-HR"/>
              </w:rPr>
              <w:t>132.500,00</w:t>
            </w:r>
          </w:p>
        </w:tc>
        <w:tc>
          <w:tcPr>
            <w:tcW w:w="2013" w:type="dxa"/>
            <w:tcBorders>
              <w:top w:val="nil"/>
              <w:left w:val="nil"/>
              <w:bottom w:val="single" w:color="auto" w:sz="4" w:space="0"/>
              <w:right w:val="single" w:color="auto" w:sz="4" w:space="0"/>
            </w:tcBorders>
            <w:shd w:val="clear" w:color="000000" w:fill="003764"/>
            <w:vAlign w:val="center"/>
          </w:tcPr>
          <w:p w14:paraId="48B431C0">
            <w:pPr>
              <w:jc w:val="right"/>
              <w:rPr>
                <w:rFonts w:hint="default" w:eastAsia="Times New Roman" w:cs="Calibri"/>
                <w:b/>
                <w:bCs/>
                <w:color w:val="FFFFFF"/>
                <w:sz w:val="20"/>
                <w:szCs w:val="20"/>
                <w:lang w:val="hr-HR"/>
              </w:rPr>
            </w:pPr>
            <w:r>
              <w:rPr>
                <w:rFonts w:hint="default" w:eastAsia="Times New Roman" w:cs="Calibri"/>
                <w:b/>
                <w:bCs/>
                <w:color w:val="FFFFFF"/>
                <w:sz w:val="20"/>
                <w:szCs w:val="20"/>
                <w:lang w:val="hr-HR"/>
              </w:rPr>
              <w:t>127.500,00</w:t>
            </w:r>
          </w:p>
        </w:tc>
        <w:tc>
          <w:tcPr>
            <w:tcW w:w="964" w:type="dxa"/>
            <w:tcBorders>
              <w:top w:val="nil"/>
              <w:left w:val="nil"/>
              <w:bottom w:val="single" w:color="auto" w:sz="4" w:space="0"/>
              <w:right w:val="single" w:color="auto" w:sz="4" w:space="0"/>
            </w:tcBorders>
            <w:shd w:val="clear" w:color="000000" w:fill="003764"/>
            <w:noWrap/>
            <w:vAlign w:val="center"/>
          </w:tcPr>
          <w:p w14:paraId="4B01A0DD">
            <w:pPr>
              <w:jc w:val="center"/>
              <w:rPr>
                <w:rFonts w:hint="default" w:eastAsia="Times New Roman" w:cs="Calibri"/>
                <w:b/>
                <w:bCs/>
                <w:color w:val="FFFFFF"/>
                <w:sz w:val="20"/>
                <w:szCs w:val="20"/>
                <w:lang w:val="hr-HR"/>
              </w:rPr>
            </w:pPr>
            <w:r>
              <w:rPr>
                <w:rFonts w:hint="default" w:eastAsia="Times New Roman" w:cs="Calibri"/>
                <w:b/>
                <w:bCs/>
                <w:color w:val="FFFFFF"/>
                <w:sz w:val="20"/>
                <w:szCs w:val="20"/>
                <w:lang w:val="hr-HR"/>
              </w:rPr>
              <w:t>98,49</w:t>
            </w:r>
          </w:p>
        </w:tc>
        <w:tc>
          <w:tcPr>
            <w:tcW w:w="708" w:type="dxa"/>
            <w:gridSpan w:val="2"/>
            <w:tcBorders>
              <w:top w:val="nil"/>
              <w:left w:val="nil"/>
              <w:bottom w:val="single" w:color="auto" w:sz="4" w:space="0"/>
              <w:right w:val="single" w:color="auto" w:sz="4" w:space="0"/>
            </w:tcBorders>
            <w:shd w:val="clear" w:color="000000" w:fill="003764"/>
            <w:vAlign w:val="center"/>
          </w:tcPr>
          <w:p w14:paraId="72B840BC">
            <w:pPr>
              <w:jc w:val="right"/>
              <w:rPr>
                <w:rFonts w:eastAsia="Times New Roman" w:cs="Calibri"/>
                <w:b/>
                <w:bCs/>
                <w:color w:val="FFFFFF"/>
                <w:sz w:val="20"/>
                <w:szCs w:val="20"/>
              </w:rPr>
            </w:pPr>
            <w:r>
              <w:rPr>
                <w:rFonts w:eastAsia="Times New Roman" w:cs="Calibri"/>
                <w:b/>
                <w:bCs/>
                <w:color w:val="FFFFFF"/>
                <w:sz w:val="20"/>
                <w:szCs w:val="20"/>
              </w:rPr>
              <w:t>100</w:t>
            </w:r>
          </w:p>
        </w:tc>
      </w:tr>
    </w:tbl>
    <w:p w14:paraId="489AD4CF">
      <w:pPr>
        <w:rPr>
          <w:rFonts w:ascii="Times New Roman" w:hAnsi="Times New Roman" w:cs="Times New Roman"/>
          <w:sz w:val="20"/>
          <w:szCs w:val="20"/>
        </w:rPr>
      </w:pPr>
    </w:p>
    <w:p w14:paraId="1969E4E6">
      <w:pPr>
        <w:tabs>
          <w:tab w:val="left" w:pos="1905"/>
        </w:tabs>
        <w:rPr>
          <w:rFonts w:ascii="Verdana" w:hAnsi="Verdana"/>
          <w:sz w:val="20"/>
          <w:szCs w:val="20"/>
        </w:rPr>
      </w:pPr>
    </w:p>
    <w:p w14:paraId="399E100D">
      <w:pPr>
        <w:tabs>
          <w:tab w:val="left" w:pos="1905"/>
        </w:tabs>
        <w:rPr>
          <w:rFonts w:ascii="Verdana" w:hAnsi="Verdana"/>
          <w:sz w:val="20"/>
          <w:szCs w:val="20"/>
        </w:rPr>
      </w:pPr>
    </w:p>
    <w:p w14:paraId="293A7317">
      <w:pPr>
        <w:tabs>
          <w:tab w:val="left" w:pos="1905"/>
        </w:tabs>
        <w:rPr>
          <w:rFonts w:ascii="Verdana" w:hAnsi="Verdana"/>
          <w:sz w:val="20"/>
          <w:szCs w:val="20"/>
        </w:rPr>
      </w:pPr>
    </w:p>
    <w:p w14:paraId="4847556B">
      <w:pPr>
        <w:tabs>
          <w:tab w:val="left" w:pos="1905"/>
        </w:tabs>
        <w:rPr>
          <w:rFonts w:ascii="Verdana" w:hAnsi="Verdana"/>
          <w:sz w:val="20"/>
          <w:szCs w:val="20"/>
        </w:rPr>
      </w:pPr>
      <w:r>
        <w:rPr>
          <w:rFonts w:ascii="Verdana" w:hAnsi="Verdana"/>
          <w:sz w:val="20"/>
          <w:szCs w:val="20"/>
        </w:rPr>
        <w:t>Predsjednica  TZ Krapanj-Brodarica:</w:t>
      </w:r>
    </w:p>
    <w:p w14:paraId="63655CB5">
      <w:pPr>
        <w:tabs>
          <w:tab w:val="left" w:pos="1905"/>
        </w:tabs>
        <w:rPr>
          <w:rFonts w:ascii="Verdana" w:hAnsi="Verdana"/>
          <w:sz w:val="20"/>
          <w:szCs w:val="20"/>
        </w:rPr>
      </w:pPr>
      <w:r>
        <w:rPr>
          <w:rFonts w:ascii="Verdana" w:hAnsi="Verdana"/>
          <w:sz w:val="20"/>
          <w:szCs w:val="20"/>
        </w:rPr>
        <w:t>Jagoda Kokić</w:t>
      </w:r>
    </w:p>
    <w:p w14:paraId="38E26E55">
      <w:pPr>
        <w:tabs>
          <w:tab w:val="left" w:pos="1905"/>
        </w:tabs>
        <w:rPr>
          <w:rFonts w:ascii="Verdana" w:hAnsi="Verdana"/>
          <w:sz w:val="20"/>
          <w:szCs w:val="20"/>
        </w:rPr>
      </w:pPr>
    </w:p>
    <w:p w14:paraId="5F4C4571">
      <w:pPr>
        <w:tabs>
          <w:tab w:val="left" w:pos="1905"/>
        </w:tabs>
        <w:rPr>
          <w:rFonts w:ascii="Verdana" w:hAnsi="Verdana"/>
          <w:sz w:val="20"/>
          <w:szCs w:val="20"/>
        </w:rPr>
      </w:pPr>
    </w:p>
    <w:p w14:paraId="5687C6CE">
      <w:pPr>
        <w:tabs>
          <w:tab w:val="left" w:pos="1905"/>
        </w:tabs>
        <w:rPr>
          <w:rFonts w:ascii="Verdana" w:hAnsi="Verdana"/>
          <w:sz w:val="20"/>
          <w:szCs w:val="20"/>
        </w:rPr>
      </w:pPr>
    </w:p>
    <w:p w14:paraId="247EABB4">
      <w:pPr>
        <w:tabs>
          <w:tab w:val="left" w:pos="1905"/>
        </w:tabs>
        <w:rPr>
          <w:rFonts w:ascii="Verdana" w:hAnsi="Verdana"/>
          <w:sz w:val="20"/>
          <w:szCs w:val="20"/>
        </w:rPr>
      </w:pPr>
    </w:p>
    <w:sectPr>
      <w:pgSz w:w="11906" w:h="16838"/>
      <w:pgMar w:top="993"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FC3631"/>
    <w:multiLevelType w:val="multilevel"/>
    <w:tmpl w:val="11FC3631"/>
    <w:lvl w:ilvl="0" w:tentative="0">
      <w:start w:val="1"/>
      <w:numFmt w:val="decimal"/>
      <w:lvlText w:val="%1."/>
      <w:lvlJc w:val="left"/>
      <w:pPr>
        <w:ind w:left="495" w:hanging="495"/>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
    <w:nsid w:val="16C12A22"/>
    <w:multiLevelType w:val="multilevel"/>
    <w:tmpl w:val="16C12A22"/>
    <w:lvl w:ilvl="0" w:tentative="0">
      <w:start w:val="1"/>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C6A5496"/>
    <w:multiLevelType w:val="multilevel"/>
    <w:tmpl w:val="4C6A549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10A6D1E"/>
    <w:multiLevelType w:val="multilevel"/>
    <w:tmpl w:val="710A6D1E"/>
    <w:lvl w:ilvl="0" w:tentative="0">
      <w:start w:val="1"/>
      <w:numFmt w:val="upp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F7B"/>
    <w:rsid w:val="000060A1"/>
    <w:rsid w:val="000133B9"/>
    <w:rsid w:val="000164AC"/>
    <w:rsid w:val="0003591B"/>
    <w:rsid w:val="00036C99"/>
    <w:rsid w:val="000504D5"/>
    <w:rsid w:val="000634F2"/>
    <w:rsid w:val="00066360"/>
    <w:rsid w:val="00077654"/>
    <w:rsid w:val="000A59C5"/>
    <w:rsid w:val="000B3571"/>
    <w:rsid w:val="000C0AB5"/>
    <w:rsid w:val="000D7291"/>
    <w:rsid w:val="000D7E58"/>
    <w:rsid w:val="000E27F1"/>
    <w:rsid w:val="00133957"/>
    <w:rsid w:val="00136B50"/>
    <w:rsid w:val="00181E89"/>
    <w:rsid w:val="001D12CF"/>
    <w:rsid w:val="00226E36"/>
    <w:rsid w:val="002332D2"/>
    <w:rsid w:val="00237751"/>
    <w:rsid w:val="00251D4F"/>
    <w:rsid w:val="00252662"/>
    <w:rsid w:val="00252F1E"/>
    <w:rsid w:val="00257D1D"/>
    <w:rsid w:val="002676D3"/>
    <w:rsid w:val="002C23CB"/>
    <w:rsid w:val="002C7BDD"/>
    <w:rsid w:val="00322188"/>
    <w:rsid w:val="003225E8"/>
    <w:rsid w:val="00336C02"/>
    <w:rsid w:val="00353808"/>
    <w:rsid w:val="00355934"/>
    <w:rsid w:val="00362AFF"/>
    <w:rsid w:val="00363F27"/>
    <w:rsid w:val="00364681"/>
    <w:rsid w:val="0037345A"/>
    <w:rsid w:val="00385B98"/>
    <w:rsid w:val="003A0F7B"/>
    <w:rsid w:val="003A3FD8"/>
    <w:rsid w:val="003B1BBE"/>
    <w:rsid w:val="003B5CAB"/>
    <w:rsid w:val="003B7399"/>
    <w:rsid w:val="003F434B"/>
    <w:rsid w:val="004063FF"/>
    <w:rsid w:val="004106FD"/>
    <w:rsid w:val="00422126"/>
    <w:rsid w:val="004248CC"/>
    <w:rsid w:val="00434693"/>
    <w:rsid w:val="004346CA"/>
    <w:rsid w:val="00435E14"/>
    <w:rsid w:val="00467777"/>
    <w:rsid w:val="004901EA"/>
    <w:rsid w:val="00491DED"/>
    <w:rsid w:val="004A3952"/>
    <w:rsid w:val="004A6FC1"/>
    <w:rsid w:val="004D79D2"/>
    <w:rsid w:val="0050655D"/>
    <w:rsid w:val="00525F7B"/>
    <w:rsid w:val="00536716"/>
    <w:rsid w:val="00543577"/>
    <w:rsid w:val="00547890"/>
    <w:rsid w:val="00550B88"/>
    <w:rsid w:val="00556A19"/>
    <w:rsid w:val="005643A9"/>
    <w:rsid w:val="005730BA"/>
    <w:rsid w:val="00585C03"/>
    <w:rsid w:val="005975AC"/>
    <w:rsid w:val="005A26E6"/>
    <w:rsid w:val="005A2D2D"/>
    <w:rsid w:val="005A3BB9"/>
    <w:rsid w:val="005B1F98"/>
    <w:rsid w:val="005C5F2F"/>
    <w:rsid w:val="005D2C3D"/>
    <w:rsid w:val="005F5D70"/>
    <w:rsid w:val="005F6368"/>
    <w:rsid w:val="006377D7"/>
    <w:rsid w:val="00640361"/>
    <w:rsid w:val="006B1453"/>
    <w:rsid w:val="006B5738"/>
    <w:rsid w:val="006B71EC"/>
    <w:rsid w:val="006C4749"/>
    <w:rsid w:val="006D3A49"/>
    <w:rsid w:val="006F267F"/>
    <w:rsid w:val="006F4EE2"/>
    <w:rsid w:val="006F50DF"/>
    <w:rsid w:val="00705429"/>
    <w:rsid w:val="007131C6"/>
    <w:rsid w:val="0071693D"/>
    <w:rsid w:val="00716A8F"/>
    <w:rsid w:val="00726293"/>
    <w:rsid w:val="00726345"/>
    <w:rsid w:val="00726F18"/>
    <w:rsid w:val="00732015"/>
    <w:rsid w:val="007360C6"/>
    <w:rsid w:val="00740E47"/>
    <w:rsid w:val="007743D1"/>
    <w:rsid w:val="007959A6"/>
    <w:rsid w:val="00797725"/>
    <w:rsid w:val="007C10F6"/>
    <w:rsid w:val="007D346F"/>
    <w:rsid w:val="007D58EB"/>
    <w:rsid w:val="007D5BB1"/>
    <w:rsid w:val="007E311C"/>
    <w:rsid w:val="007F54FB"/>
    <w:rsid w:val="00807441"/>
    <w:rsid w:val="00834815"/>
    <w:rsid w:val="00842CEB"/>
    <w:rsid w:val="00844AC8"/>
    <w:rsid w:val="00866402"/>
    <w:rsid w:val="008733F3"/>
    <w:rsid w:val="00876E6E"/>
    <w:rsid w:val="008A011D"/>
    <w:rsid w:val="009264F2"/>
    <w:rsid w:val="00957996"/>
    <w:rsid w:val="00964BBD"/>
    <w:rsid w:val="00980B4D"/>
    <w:rsid w:val="00984118"/>
    <w:rsid w:val="009A7FC0"/>
    <w:rsid w:val="009B2C5F"/>
    <w:rsid w:val="009B7DC5"/>
    <w:rsid w:val="009C0D2C"/>
    <w:rsid w:val="009C6BAF"/>
    <w:rsid w:val="009D17CF"/>
    <w:rsid w:val="009D41A0"/>
    <w:rsid w:val="009E100C"/>
    <w:rsid w:val="009E1CC0"/>
    <w:rsid w:val="009E2935"/>
    <w:rsid w:val="00A14A0F"/>
    <w:rsid w:val="00A26587"/>
    <w:rsid w:val="00A3120D"/>
    <w:rsid w:val="00A3401D"/>
    <w:rsid w:val="00A50D57"/>
    <w:rsid w:val="00A55A93"/>
    <w:rsid w:val="00A60169"/>
    <w:rsid w:val="00A730EF"/>
    <w:rsid w:val="00A94A2B"/>
    <w:rsid w:val="00A97093"/>
    <w:rsid w:val="00AA05AD"/>
    <w:rsid w:val="00AB0414"/>
    <w:rsid w:val="00AD33BF"/>
    <w:rsid w:val="00AD5F07"/>
    <w:rsid w:val="00AF1A16"/>
    <w:rsid w:val="00AF1D0F"/>
    <w:rsid w:val="00AF37CC"/>
    <w:rsid w:val="00AF4862"/>
    <w:rsid w:val="00B215E4"/>
    <w:rsid w:val="00B47335"/>
    <w:rsid w:val="00B50775"/>
    <w:rsid w:val="00B52538"/>
    <w:rsid w:val="00B62C3D"/>
    <w:rsid w:val="00B80D41"/>
    <w:rsid w:val="00BB6438"/>
    <w:rsid w:val="00BB78B6"/>
    <w:rsid w:val="00BC798F"/>
    <w:rsid w:val="00C114D4"/>
    <w:rsid w:val="00C25E09"/>
    <w:rsid w:val="00C45B98"/>
    <w:rsid w:val="00C46114"/>
    <w:rsid w:val="00C56216"/>
    <w:rsid w:val="00C64AE4"/>
    <w:rsid w:val="00C66592"/>
    <w:rsid w:val="00C81631"/>
    <w:rsid w:val="00C82114"/>
    <w:rsid w:val="00C871D7"/>
    <w:rsid w:val="00CB081B"/>
    <w:rsid w:val="00CC67B2"/>
    <w:rsid w:val="00CD6AE8"/>
    <w:rsid w:val="00CE74A2"/>
    <w:rsid w:val="00D13CCB"/>
    <w:rsid w:val="00D140C8"/>
    <w:rsid w:val="00D220AB"/>
    <w:rsid w:val="00D37E5D"/>
    <w:rsid w:val="00D42D80"/>
    <w:rsid w:val="00D43F11"/>
    <w:rsid w:val="00D45F79"/>
    <w:rsid w:val="00D735CD"/>
    <w:rsid w:val="00D84A69"/>
    <w:rsid w:val="00D85B33"/>
    <w:rsid w:val="00D91258"/>
    <w:rsid w:val="00DC7298"/>
    <w:rsid w:val="00DD0522"/>
    <w:rsid w:val="00DF1532"/>
    <w:rsid w:val="00DF45C2"/>
    <w:rsid w:val="00E10018"/>
    <w:rsid w:val="00E217BB"/>
    <w:rsid w:val="00E311B3"/>
    <w:rsid w:val="00E53846"/>
    <w:rsid w:val="00E61418"/>
    <w:rsid w:val="00E643C9"/>
    <w:rsid w:val="00E660B4"/>
    <w:rsid w:val="00E745D4"/>
    <w:rsid w:val="00E82EDA"/>
    <w:rsid w:val="00E87ADA"/>
    <w:rsid w:val="00EB44DF"/>
    <w:rsid w:val="00EC2422"/>
    <w:rsid w:val="00EC4566"/>
    <w:rsid w:val="00ED0C39"/>
    <w:rsid w:val="00ED216B"/>
    <w:rsid w:val="00EE6DC4"/>
    <w:rsid w:val="00EF3208"/>
    <w:rsid w:val="00F26FC4"/>
    <w:rsid w:val="00F30CCE"/>
    <w:rsid w:val="00F4026E"/>
    <w:rsid w:val="00F52924"/>
    <w:rsid w:val="00F64B58"/>
    <w:rsid w:val="00F76617"/>
    <w:rsid w:val="00F858DB"/>
    <w:rsid w:val="00FA1649"/>
    <w:rsid w:val="00FB12B1"/>
    <w:rsid w:val="00FD0091"/>
    <w:rsid w:val="00FF4930"/>
    <w:rsid w:val="19713A39"/>
    <w:rsid w:val="1FC66E43"/>
    <w:rsid w:val="232F7B52"/>
    <w:rsid w:val="26615D9B"/>
    <w:rsid w:val="28D1351E"/>
    <w:rsid w:val="28D94719"/>
    <w:rsid w:val="29AA52E1"/>
    <w:rsid w:val="2E3727E7"/>
    <w:rsid w:val="2F394536"/>
    <w:rsid w:val="332520AE"/>
    <w:rsid w:val="34A36F12"/>
    <w:rsid w:val="35340E6A"/>
    <w:rsid w:val="3D41598E"/>
    <w:rsid w:val="4CC80E6C"/>
    <w:rsid w:val="571E648C"/>
    <w:rsid w:val="5F07696D"/>
    <w:rsid w:val="636F2C93"/>
    <w:rsid w:val="667A6556"/>
    <w:rsid w:val="67703D52"/>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pPr>
    <w:rPr>
      <w:rFonts w:ascii="Tahoma" w:hAnsi="Tahoma" w:cs="Tahoma"/>
      <w:sz w:val="16"/>
      <w:szCs w:val="16"/>
    </w:rPr>
  </w:style>
  <w:style w:type="paragraph" w:styleId="5">
    <w:name w:val="footer"/>
    <w:basedOn w:val="1"/>
    <w:link w:val="11"/>
    <w:semiHidden/>
    <w:unhideWhenUsed/>
    <w:qFormat/>
    <w:uiPriority w:val="99"/>
    <w:pPr>
      <w:tabs>
        <w:tab w:val="center" w:pos="4536"/>
        <w:tab w:val="right" w:pos="9072"/>
      </w:tabs>
      <w:spacing w:after="0"/>
    </w:pPr>
  </w:style>
  <w:style w:type="paragraph" w:styleId="6">
    <w:name w:val="header"/>
    <w:basedOn w:val="1"/>
    <w:link w:val="10"/>
    <w:semiHidden/>
    <w:unhideWhenUsed/>
    <w:qFormat/>
    <w:uiPriority w:val="99"/>
    <w:pPr>
      <w:tabs>
        <w:tab w:val="center" w:pos="4536"/>
        <w:tab w:val="right" w:pos="9072"/>
      </w:tabs>
      <w:spacing w:after="0"/>
    </w:pPr>
  </w:style>
  <w:style w:type="character" w:customStyle="1" w:styleId="7">
    <w:name w:val="Balloon Text Char"/>
    <w:basedOn w:val="2"/>
    <w:link w:val="4"/>
    <w:semiHidden/>
    <w:qFormat/>
    <w:uiPriority w:val="99"/>
    <w:rPr>
      <w:rFonts w:ascii="Tahoma" w:hAnsi="Tahoma" w:cs="Tahoma"/>
      <w:sz w:val="16"/>
      <w:szCs w:val="16"/>
    </w:rPr>
  </w:style>
  <w:style w:type="paragraph" w:customStyle="1" w:styleId="8">
    <w:name w:val="Default"/>
    <w:qFormat/>
    <w:uiPriority w:val="0"/>
    <w:pPr>
      <w:autoSpaceDE w:val="0"/>
      <w:autoSpaceDN w:val="0"/>
      <w:adjustRightInd w:val="0"/>
      <w:spacing w:after="0"/>
    </w:pPr>
    <w:rPr>
      <w:rFonts w:ascii="Verdana" w:hAnsi="Verdana" w:eastAsia="Times New Roman" w:cs="Verdana"/>
      <w:color w:val="000000"/>
      <w:sz w:val="24"/>
      <w:szCs w:val="24"/>
      <w:lang w:val="en-US" w:eastAsia="en-US" w:bidi="ar-SA"/>
    </w:rPr>
  </w:style>
  <w:style w:type="paragraph" w:styleId="9">
    <w:name w:val="List Paragraph"/>
    <w:basedOn w:val="1"/>
    <w:qFormat/>
    <w:uiPriority w:val="34"/>
    <w:pPr>
      <w:ind w:left="720"/>
      <w:contextualSpacing/>
    </w:pPr>
  </w:style>
  <w:style w:type="character" w:customStyle="1" w:styleId="10">
    <w:name w:val="Header Char"/>
    <w:basedOn w:val="2"/>
    <w:link w:val="6"/>
    <w:semiHidden/>
    <w:qFormat/>
    <w:uiPriority w:val="99"/>
  </w:style>
  <w:style w:type="character" w:customStyle="1" w:styleId="11">
    <w:name w:val="Footer Char"/>
    <w:basedOn w:val="2"/>
    <w:link w:val="5"/>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3324</Words>
  <Characters>18947</Characters>
  <Lines>157</Lines>
  <Paragraphs>44</Paragraphs>
  <TotalTime>21</TotalTime>
  <ScaleCrop>false</ScaleCrop>
  <LinksUpToDate>false</LinksUpToDate>
  <CharactersWithSpaces>22227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2023-12-05T12:07:00Z</dcterms:created>
  <dc:creator>Korisnik</dc:creator>
  <cp:lastModifiedBy>TZ KRAPANJ - BRODARICA</cp:lastModifiedBy>
  <cp:lastPrinted>2025-11-26T16:43:00Z</cp:lastPrinted>
  <dcterms:modified xsi:type="dcterms:W3CDTF">2025-12-10T16:30:42Z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E18E1D8879814356BB64D6866C091C6C_13</vt:lpwstr>
  </property>
</Properties>
</file>